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39" w:type="dxa"/>
        <w:jc w:val="center"/>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5837"/>
      </w:tblGrid>
      <w:tr w:rsidR="004A4359" w:rsidRPr="00EE15ED" w:rsidTr="004A4359">
        <w:trPr>
          <w:trHeight w:val="317"/>
          <w:jc w:val="center"/>
        </w:trPr>
        <w:tc>
          <w:tcPr>
            <w:tcW w:w="3402" w:type="dxa"/>
            <w:vMerge w:val="restart"/>
            <w:tcBorders>
              <w:top w:val="nil"/>
              <w:left w:val="nil"/>
              <w:bottom w:val="nil"/>
              <w:right w:val="nil"/>
            </w:tcBorders>
          </w:tcPr>
          <w:p w:rsidR="004A4359" w:rsidRPr="00EE15ED" w:rsidRDefault="00D127F0" w:rsidP="000501B3">
            <w:pPr>
              <w:spacing w:after="0"/>
              <w:jc w:val="center"/>
              <w:rPr>
                <w:rFonts w:eastAsia="Times New Roman"/>
                <w:b/>
                <w:bCs/>
                <w:sz w:val="24"/>
                <w:szCs w:val="24"/>
                <w:lang w:val="nl-NL"/>
              </w:rPr>
            </w:pPr>
            <w:r>
              <w:rPr>
                <w:rFonts w:eastAsia="Times New Roman"/>
                <w:b/>
                <w:bCs/>
                <w:sz w:val="26"/>
                <w:szCs w:val="26"/>
                <w:lang w:val="nl-NL"/>
              </w:rPr>
              <w:t>BỘ TƯ PHÁP</w:t>
            </w:r>
          </w:p>
          <w:p w:rsidR="004A4359" w:rsidRPr="00EE15ED" w:rsidRDefault="007669C8" w:rsidP="000501B3">
            <w:pPr>
              <w:spacing w:after="0"/>
              <w:jc w:val="center"/>
              <w:rPr>
                <w:rFonts w:eastAsia="Times New Roman"/>
                <w:sz w:val="26"/>
                <w:szCs w:val="24"/>
                <w:lang w:val="nl-NL"/>
              </w:rPr>
            </w:pPr>
            <w:r>
              <w:rPr>
                <w:rFonts w:ascii="Cambria" w:hAnsi="Cambria" w:cs="Cambria"/>
                <w:b/>
                <w:noProof/>
              </w:rPr>
              <mc:AlternateContent>
                <mc:Choice Requires="wps">
                  <w:drawing>
                    <wp:anchor distT="0" distB="0" distL="114300" distR="114300" simplePos="0" relativeHeight="251661312" behindDoc="0" locked="0" layoutInCell="1" allowOverlap="1" wp14:anchorId="0ACA060F" wp14:editId="03571338">
                      <wp:simplePos x="0" y="0"/>
                      <wp:positionH relativeFrom="margin">
                        <wp:align>center</wp:align>
                      </wp:positionH>
                      <wp:positionV relativeFrom="paragraph">
                        <wp:posOffset>83820</wp:posOffset>
                      </wp:positionV>
                      <wp:extent cx="448310" cy="0"/>
                      <wp:effectExtent l="0" t="0" r="27940" b="1905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48310"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0;margin-top:6.6pt;width:35.3pt;height:0;flip:y;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">
                      <w10:wrap anchorx="margin"/>
                    </v:shape>
                  </w:pict>
                </mc:Fallback>
              </mc:AlternateContent>
            </w:r>
          </w:p>
          <w:p w:rsidR="004A4359" w:rsidRDefault="004A4359" w:rsidP="000501B3">
            <w:pPr>
              <w:spacing w:after="0"/>
              <w:jc w:val="center"/>
              <w:rPr>
                <w:rFonts w:eastAsia="Times New Roman"/>
                <w:sz w:val="26"/>
                <w:szCs w:val="24"/>
                <w:lang w:val="nl-NL"/>
              </w:rPr>
            </w:pPr>
          </w:p>
          <w:p w:rsidR="004A4359" w:rsidRPr="00EE15ED" w:rsidRDefault="004A4359" w:rsidP="00EE3C39">
            <w:pPr>
              <w:spacing w:after="0"/>
              <w:jc w:val="center"/>
              <w:rPr>
                <w:rFonts w:eastAsia="Times New Roman"/>
                <w:b/>
                <w:bCs/>
                <w:sz w:val="24"/>
                <w:szCs w:val="24"/>
                <w:lang w:val="nl-NL"/>
              </w:rPr>
            </w:pPr>
          </w:p>
        </w:tc>
        <w:tc>
          <w:tcPr>
            <w:tcW w:w="5837" w:type="dxa"/>
            <w:vMerge w:val="restart"/>
            <w:tcBorders>
              <w:top w:val="nil"/>
              <w:left w:val="nil"/>
              <w:bottom w:val="nil"/>
              <w:right w:val="nil"/>
            </w:tcBorders>
          </w:tcPr>
          <w:p w:rsidR="004A4359" w:rsidRPr="00EE15ED" w:rsidRDefault="004A4359" w:rsidP="000501B3">
            <w:pPr>
              <w:spacing w:after="0"/>
              <w:jc w:val="center"/>
              <w:rPr>
                <w:rFonts w:eastAsia="Times New Roman"/>
                <w:b/>
                <w:bCs/>
                <w:sz w:val="26"/>
                <w:szCs w:val="26"/>
                <w:lang w:val="nl-NL"/>
              </w:rPr>
            </w:pPr>
            <w:r w:rsidRPr="00EE15ED">
              <w:rPr>
                <w:rFonts w:eastAsia="Times New Roman"/>
                <w:b/>
                <w:bCs/>
                <w:sz w:val="26"/>
                <w:szCs w:val="26"/>
                <w:lang w:val="nl-NL"/>
              </w:rPr>
              <w:t>CỘNG HOÀ XÃ HỘI CHỦ NGHĨA VIỆT NAM</w:t>
            </w:r>
          </w:p>
          <w:p w:rsidR="004A4359" w:rsidRPr="00EE15ED" w:rsidRDefault="004A4359" w:rsidP="000501B3">
            <w:pPr>
              <w:spacing w:after="0"/>
              <w:jc w:val="center"/>
              <w:rPr>
                <w:rFonts w:eastAsia="Times New Roman"/>
                <w:b/>
                <w:lang w:val="nl-NL"/>
              </w:rPr>
            </w:pPr>
            <w:r w:rsidRPr="00EE15ED">
              <w:rPr>
                <w:rFonts w:eastAsia="Times New Roman"/>
                <w:b/>
                <w:lang w:val="nl-NL"/>
              </w:rPr>
              <w:t>Độc lập – Tự do – Hạnh phúc</w:t>
            </w:r>
          </w:p>
          <w:p w:rsidR="004A4359" w:rsidRDefault="00F31C32" w:rsidP="000501B3">
            <w:pPr>
              <w:keepNext/>
              <w:spacing w:after="0"/>
              <w:jc w:val="center"/>
              <w:outlineLvl w:val="0"/>
              <w:rPr>
                <w:rFonts w:ascii=".VnFree" w:eastAsia="Times New Roman" w:hAnsi=".VnFree"/>
                <w:sz w:val="16"/>
                <w:szCs w:val="16"/>
                <w:lang w:val="nl-NL"/>
              </w:rPr>
            </w:pPr>
            <w:r>
              <w:rPr>
                <w:rFonts w:eastAsia="Times New Roman"/>
                <w:b/>
                <w:bCs/>
                <w:noProof/>
                <w:sz w:val="26"/>
                <w:szCs w:val="26"/>
              </w:rPr>
              <mc:AlternateContent>
                <mc:Choice Requires="wps">
                  <w:drawing>
                    <wp:anchor distT="0" distB="0" distL="114300" distR="114300" simplePos="0" relativeHeight="251660288" behindDoc="0" locked="0" layoutInCell="1" allowOverlap="1">
                      <wp:simplePos x="0" y="0"/>
                      <wp:positionH relativeFrom="margin">
                        <wp:posOffset>687070</wp:posOffset>
                      </wp:positionH>
                      <wp:positionV relativeFrom="paragraph">
                        <wp:posOffset>6985</wp:posOffset>
                      </wp:positionV>
                      <wp:extent cx="2194560" cy="0"/>
                      <wp:effectExtent l="10795" t="6985" r="13970" b="1206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54.1pt;margin-top:.55pt;width:172.8pt;height:0;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">
                      <w10:wrap anchorx="margin"/>
                    </v:shape>
                  </w:pict>
                </mc:Fallback>
              </mc:AlternateContent>
            </w:r>
          </w:p>
          <w:p w:rsidR="004A4359" w:rsidRPr="00EE15ED" w:rsidRDefault="004A4359" w:rsidP="000501B3">
            <w:pPr>
              <w:keepNext/>
              <w:spacing w:after="0"/>
              <w:jc w:val="center"/>
              <w:outlineLvl w:val="0"/>
              <w:rPr>
                <w:rFonts w:eastAsia="Times New Roman"/>
                <w:b/>
                <w:bCs/>
                <w:sz w:val="26"/>
                <w:szCs w:val="26"/>
                <w:lang w:val="nl-NL"/>
              </w:rPr>
            </w:pPr>
            <w:r w:rsidRPr="00EE15ED">
              <w:rPr>
                <w:rFonts w:eastAsia="Times New Roman"/>
                <w:i/>
                <w:lang w:val="nl-NL"/>
              </w:rPr>
              <w:t xml:space="preserve">Hà Nội, ngày </w:t>
            </w:r>
            <w:r>
              <w:rPr>
                <w:rFonts w:eastAsia="Times New Roman"/>
                <w:i/>
                <w:lang w:val="nl-NL"/>
              </w:rPr>
              <w:t xml:space="preserve">    </w:t>
            </w:r>
            <w:r w:rsidRPr="00EE15ED">
              <w:rPr>
                <w:rFonts w:eastAsia="Times New Roman"/>
                <w:i/>
                <w:lang w:val="nl-NL"/>
              </w:rPr>
              <w:t xml:space="preserve"> tháng </w:t>
            </w:r>
            <w:r>
              <w:rPr>
                <w:rFonts w:eastAsia="Times New Roman"/>
                <w:i/>
                <w:lang w:val="nl-NL"/>
              </w:rPr>
              <w:t xml:space="preserve">   </w:t>
            </w:r>
            <w:r w:rsidRPr="00EE15ED">
              <w:rPr>
                <w:rFonts w:eastAsia="Times New Roman"/>
                <w:i/>
                <w:lang w:val="nl-NL"/>
              </w:rPr>
              <w:t xml:space="preserve"> năm 202</w:t>
            </w:r>
            <w:r>
              <w:rPr>
                <w:rFonts w:eastAsia="Times New Roman"/>
                <w:i/>
                <w:lang w:val="nl-NL"/>
              </w:rPr>
              <w:t>5</w:t>
            </w:r>
          </w:p>
        </w:tc>
      </w:tr>
      <w:tr w:rsidR="004A4359" w:rsidRPr="00EE15ED" w:rsidTr="004A4359">
        <w:trPr>
          <w:trHeight w:val="344"/>
          <w:jc w:val="center"/>
        </w:trPr>
        <w:tc>
          <w:tcPr>
            <w:tcW w:w="3402" w:type="dxa"/>
            <w:vMerge/>
            <w:tcBorders>
              <w:top w:val="nil"/>
              <w:left w:val="nil"/>
              <w:bottom w:val="nil"/>
              <w:right w:val="nil"/>
            </w:tcBorders>
          </w:tcPr>
          <w:p w:rsidR="004A4359" w:rsidRPr="00EE15ED" w:rsidRDefault="004A4359" w:rsidP="000501B3">
            <w:pPr>
              <w:spacing w:after="0"/>
              <w:jc w:val="center"/>
              <w:rPr>
                <w:rFonts w:eastAsia="Times New Roman"/>
                <w:b/>
                <w:bCs/>
                <w:sz w:val="26"/>
                <w:szCs w:val="26"/>
                <w:lang w:val="nl-NL"/>
              </w:rPr>
            </w:pPr>
          </w:p>
        </w:tc>
        <w:tc>
          <w:tcPr>
            <w:tcW w:w="5837" w:type="dxa"/>
            <w:vMerge/>
            <w:tcBorders>
              <w:top w:val="nil"/>
              <w:left w:val="nil"/>
              <w:bottom w:val="nil"/>
              <w:right w:val="nil"/>
            </w:tcBorders>
          </w:tcPr>
          <w:p w:rsidR="004A4359" w:rsidRPr="00EE15ED" w:rsidRDefault="004A4359" w:rsidP="000501B3">
            <w:pPr>
              <w:spacing w:after="0"/>
              <w:jc w:val="center"/>
              <w:rPr>
                <w:rFonts w:eastAsia="Times New Roman"/>
                <w:b/>
                <w:bCs/>
                <w:sz w:val="26"/>
                <w:szCs w:val="26"/>
                <w:lang w:val="nl-NL"/>
              </w:rPr>
            </w:pPr>
          </w:p>
        </w:tc>
      </w:tr>
      <w:tr w:rsidR="004A4359" w:rsidRPr="00EE15ED" w:rsidTr="004A4359">
        <w:trPr>
          <w:trHeight w:val="212"/>
          <w:jc w:val="center"/>
        </w:trPr>
        <w:tc>
          <w:tcPr>
            <w:tcW w:w="3402" w:type="dxa"/>
            <w:vMerge/>
            <w:tcBorders>
              <w:top w:val="nil"/>
              <w:left w:val="nil"/>
              <w:bottom w:val="nil"/>
              <w:right w:val="nil"/>
            </w:tcBorders>
          </w:tcPr>
          <w:p w:rsidR="004A4359" w:rsidRPr="00EE15ED" w:rsidRDefault="004A4359" w:rsidP="000501B3">
            <w:pPr>
              <w:spacing w:after="0"/>
              <w:rPr>
                <w:rFonts w:eastAsia="Times New Roman"/>
                <w:sz w:val="16"/>
                <w:szCs w:val="16"/>
                <w:lang w:val="nl-NL"/>
              </w:rPr>
            </w:pPr>
          </w:p>
        </w:tc>
        <w:tc>
          <w:tcPr>
            <w:tcW w:w="5837" w:type="dxa"/>
            <w:vMerge/>
            <w:tcBorders>
              <w:top w:val="nil"/>
              <w:left w:val="nil"/>
              <w:bottom w:val="nil"/>
              <w:right w:val="nil"/>
            </w:tcBorders>
          </w:tcPr>
          <w:p w:rsidR="004A4359" w:rsidRPr="00EE15ED" w:rsidRDefault="004A4359" w:rsidP="000501B3">
            <w:pPr>
              <w:keepNext/>
              <w:spacing w:after="0"/>
              <w:jc w:val="center"/>
              <w:outlineLvl w:val="0"/>
              <w:rPr>
                <w:rFonts w:eastAsia="Times New Roman"/>
                <w:b/>
                <w:lang w:val="nl-NL"/>
              </w:rPr>
            </w:pPr>
          </w:p>
        </w:tc>
      </w:tr>
      <w:tr w:rsidR="004A4359" w:rsidRPr="00EE15ED" w:rsidTr="004A4359">
        <w:trPr>
          <w:trHeight w:val="344"/>
          <w:jc w:val="center"/>
        </w:trPr>
        <w:tc>
          <w:tcPr>
            <w:tcW w:w="3402" w:type="dxa"/>
            <w:vMerge/>
            <w:tcBorders>
              <w:top w:val="nil"/>
              <w:left w:val="nil"/>
              <w:bottom w:val="nil"/>
              <w:right w:val="nil"/>
            </w:tcBorders>
          </w:tcPr>
          <w:p w:rsidR="004A4359" w:rsidRPr="00EE15ED" w:rsidRDefault="004A4359" w:rsidP="000501B3">
            <w:pPr>
              <w:spacing w:after="0"/>
              <w:rPr>
                <w:rFonts w:eastAsia="Times New Roman"/>
                <w:sz w:val="26"/>
                <w:szCs w:val="24"/>
                <w:lang w:val="nl-NL"/>
              </w:rPr>
            </w:pPr>
          </w:p>
        </w:tc>
        <w:tc>
          <w:tcPr>
            <w:tcW w:w="5837" w:type="dxa"/>
            <w:vMerge/>
            <w:tcBorders>
              <w:top w:val="nil"/>
              <w:left w:val="nil"/>
              <w:bottom w:val="nil"/>
              <w:right w:val="nil"/>
            </w:tcBorders>
          </w:tcPr>
          <w:p w:rsidR="004A4359" w:rsidRPr="00EE15ED" w:rsidRDefault="004A4359" w:rsidP="000501B3">
            <w:pPr>
              <w:keepNext/>
              <w:spacing w:after="0"/>
              <w:jc w:val="center"/>
              <w:outlineLvl w:val="0"/>
              <w:rPr>
                <w:rFonts w:ascii=".VnFree" w:eastAsia="Times New Roman" w:hAnsi=".VnFree"/>
                <w:sz w:val="16"/>
                <w:szCs w:val="16"/>
                <w:lang w:val="nl-NL"/>
              </w:rPr>
            </w:pPr>
          </w:p>
        </w:tc>
      </w:tr>
      <w:tr w:rsidR="004A4359" w:rsidRPr="00EE15ED" w:rsidTr="004A4359">
        <w:trPr>
          <w:trHeight w:val="362"/>
          <w:jc w:val="center"/>
        </w:trPr>
        <w:tc>
          <w:tcPr>
            <w:tcW w:w="3402" w:type="dxa"/>
            <w:vMerge/>
            <w:tcBorders>
              <w:top w:val="nil"/>
              <w:left w:val="nil"/>
              <w:bottom w:val="nil"/>
              <w:right w:val="nil"/>
            </w:tcBorders>
          </w:tcPr>
          <w:p w:rsidR="004A4359" w:rsidRPr="00EE15ED" w:rsidRDefault="004A4359" w:rsidP="000501B3">
            <w:pPr>
              <w:spacing w:after="0"/>
              <w:rPr>
                <w:rFonts w:eastAsia="Times New Roman"/>
                <w:sz w:val="22"/>
                <w:lang w:val="pt-BR"/>
              </w:rPr>
            </w:pPr>
          </w:p>
        </w:tc>
        <w:tc>
          <w:tcPr>
            <w:tcW w:w="5837" w:type="dxa"/>
            <w:vMerge/>
            <w:tcBorders>
              <w:top w:val="nil"/>
              <w:left w:val="nil"/>
              <w:bottom w:val="nil"/>
              <w:right w:val="nil"/>
            </w:tcBorders>
          </w:tcPr>
          <w:p w:rsidR="004A4359" w:rsidRPr="00EE15ED" w:rsidRDefault="004A4359" w:rsidP="000501B3">
            <w:pPr>
              <w:keepNext/>
              <w:spacing w:after="0"/>
              <w:jc w:val="center"/>
              <w:outlineLvl w:val="0"/>
              <w:rPr>
                <w:rFonts w:eastAsia="Times New Roman"/>
                <w:i/>
                <w:lang w:val="nl-NL"/>
              </w:rPr>
            </w:pPr>
          </w:p>
        </w:tc>
      </w:tr>
    </w:tbl>
    <w:p w:rsidR="00F9442C" w:rsidRDefault="00EE3C39" w:rsidP="004A4359">
      <w:pPr>
        <w:spacing w:before="120" w:after="120" w:line="240" w:lineRule="auto"/>
        <w:jc w:val="center"/>
        <w:rPr>
          <w:b/>
        </w:rPr>
      </w:pPr>
      <w:r>
        <w:rPr>
          <w:b/>
        </w:rPr>
        <w:t xml:space="preserve">BẢN RÀ SOÁT </w:t>
      </w:r>
      <w:bookmarkStart w:id="0" w:name="_GoBack"/>
      <w:bookmarkEnd w:id="0"/>
      <w:r>
        <w:rPr>
          <w:b/>
        </w:rPr>
        <w:t xml:space="preserve">CÁC CHỦ TRƯƠNG, ĐƯỜNG LỐI CỦA ĐẢNG, VĂN BẢN QUY PHẠM PHÁP LUẬT, ĐIỀU ƯỚC QUỐC TẾ CÓ LIÊN QUAN ĐẾN DỰ THẢO NGHỊ ĐỊNH </w:t>
      </w:r>
      <w:r w:rsidR="00B00DE5">
        <w:rPr>
          <w:b/>
        </w:rPr>
        <w:t xml:space="preserve">BÃI BỎ CÁC NGHỊ ĐỊNH </w:t>
      </w:r>
    </w:p>
    <w:p w:rsidR="004A4359" w:rsidRDefault="00B00DE5" w:rsidP="004A4359">
      <w:pPr>
        <w:spacing w:before="120" w:after="120" w:line="240" w:lineRule="auto"/>
        <w:jc w:val="center"/>
        <w:rPr>
          <w:b/>
        </w:rPr>
      </w:pPr>
      <w:r>
        <w:rPr>
          <w:b/>
        </w:rPr>
        <w:t>CỦA CHÍNH PHỦ</w:t>
      </w:r>
    </w:p>
    <w:p w:rsidR="00861B01" w:rsidRPr="00EF1658" w:rsidRDefault="00861B01" w:rsidP="004A4359">
      <w:pPr>
        <w:spacing w:before="120" w:after="120" w:line="240" w:lineRule="auto"/>
        <w:jc w:val="center"/>
        <w:rPr>
          <w:i/>
        </w:rPr>
      </w:pPr>
    </w:p>
    <w:p w:rsidR="00893D39" w:rsidRDefault="00893D39" w:rsidP="00893D39">
      <w:pPr>
        <w:spacing w:before="120" w:after="120" w:line="240" w:lineRule="auto"/>
        <w:ind w:firstLine="720"/>
      </w:pPr>
      <w:r>
        <w:t xml:space="preserve">Thực hiện quy định của Luật Ban hành văn bản quy phạm pháp luật, Bộ </w:t>
      </w:r>
      <w:r w:rsidR="00D127F0">
        <w:t>Tư pháp</w:t>
      </w:r>
      <w:r>
        <w:t xml:space="preserve"> đã tiến hành rà soát các chủ trương, đường lối của Đảng, văn bản quy phạm pháp luật, điều ước quốc tế có liên quan đến dự thảo</w:t>
      </w:r>
      <w:r w:rsidR="00E6754A">
        <w:t xml:space="preserve"> </w:t>
      </w:r>
      <w:r w:rsidR="00B00DE5">
        <w:t>Nghị định bãi bỏ các nghị định của Chính phủ</w:t>
      </w:r>
      <w:r w:rsidR="00DB0498">
        <w:t xml:space="preserve">. </w:t>
      </w:r>
      <w:r>
        <w:t>Kết quả rà soát như sau:</w:t>
      </w:r>
    </w:p>
    <w:p w:rsidR="00893D39" w:rsidRPr="00DB0498" w:rsidRDefault="00893D39" w:rsidP="00893D39">
      <w:pPr>
        <w:spacing w:before="120" w:after="120" w:line="240" w:lineRule="auto"/>
        <w:ind w:firstLine="720"/>
        <w:rPr>
          <w:b/>
        </w:rPr>
      </w:pPr>
      <w:r w:rsidRPr="00DB0498">
        <w:rPr>
          <w:b/>
        </w:rPr>
        <w:t>I. TỔ CHỨC THỰC HIỆN RÀ SOÁT</w:t>
      </w:r>
    </w:p>
    <w:p w:rsidR="00893D39" w:rsidRPr="00DB0498" w:rsidRDefault="00893D39" w:rsidP="00893D39">
      <w:pPr>
        <w:spacing w:before="120" w:after="120" w:line="240" w:lineRule="auto"/>
        <w:ind w:firstLine="720"/>
        <w:rPr>
          <w:b/>
        </w:rPr>
      </w:pPr>
      <w:r w:rsidRPr="00DB0498">
        <w:rPr>
          <w:b/>
        </w:rPr>
        <w:t>1. Mục đích, yêu cầu rà soát</w:t>
      </w:r>
    </w:p>
    <w:p w:rsidR="00893D39" w:rsidRDefault="008B7956" w:rsidP="00893D39">
      <w:pPr>
        <w:spacing w:before="120" w:after="120" w:line="240" w:lineRule="auto"/>
        <w:ind w:firstLine="720"/>
      </w:pPr>
      <w:r w:rsidRPr="008B7956">
        <w:t xml:space="preserve">Nhằm bảo đảm tính tương thích của dự thảo Nghị định với các </w:t>
      </w:r>
      <w:r>
        <w:t xml:space="preserve">chủ trương, đường lối của Đảng, các văn bản quy phạm pháp luật và </w:t>
      </w:r>
      <w:r w:rsidRPr="008B7956">
        <w:t>điều ước quốc tế có liên quan; phát hiện, xử lý những nội dung chồng chéo hoặc không phù hợp với văn bản quy phạm pháp luậ</w:t>
      </w:r>
      <w:r>
        <w:t>t khác, các đ</w:t>
      </w:r>
      <w:r w:rsidRPr="008B7956">
        <w:t>iều ước quốc tế mà Việt Nam là thành viên</w:t>
      </w:r>
      <w:r>
        <w:t>.</w:t>
      </w:r>
    </w:p>
    <w:p w:rsidR="00B82C5B" w:rsidRPr="00B82C5B" w:rsidRDefault="001B35FB" w:rsidP="00893D39">
      <w:pPr>
        <w:spacing w:before="120" w:after="120" w:line="240" w:lineRule="auto"/>
        <w:ind w:firstLine="720"/>
      </w:pPr>
      <w:r>
        <w:t>Việc rà soát đảm bảo toàn diện, khách quan, chính xác, bám sát các định hướng, chỉ đạo của Đảng và Nhà nước, đảm bảo phù hợp và thống nhất với hệ thống pháp luật và tuân thủ các cam kết quốc tế của Việt Nam.</w:t>
      </w:r>
    </w:p>
    <w:p w:rsidR="00893D39" w:rsidRPr="00DB0498" w:rsidRDefault="00893D39" w:rsidP="00893D39">
      <w:pPr>
        <w:spacing w:before="120" w:after="120" w:line="240" w:lineRule="auto"/>
        <w:ind w:firstLine="720"/>
        <w:rPr>
          <w:b/>
        </w:rPr>
      </w:pPr>
      <w:r w:rsidRPr="00DB0498">
        <w:rPr>
          <w:b/>
        </w:rPr>
        <w:t>2. Phạm vi, nội dung, đối tượng rà soát</w:t>
      </w:r>
    </w:p>
    <w:p w:rsidR="0050355A" w:rsidRPr="0050355A" w:rsidRDefault="00B82C5B" w:rsidP="00893D39">
      <w:pPr>
        <w:spacing w:before="120" w:after="120" w:line="240" w:lineRule="auto"/>
        <w:ind w:firstLine="720"/>
      </w:pPr>
      <w:r w:rsidRPr="00B82C5B">
        <w:t xml:space="preserve">Thực hiện rà soát các </w:t>
      </w:r>
      <w:r w:rsidR="008F21C2">
        <w:t>Nghị quyết của Bộ Chính trị, Chính phủ, các Thông báo kết luận của Tổng Bí thư, Thường trực Chính phủ…</w:t>
      </w:r>
      <w:r w:rsidR="001A6203">
        <w:t xml:space="preserve"> </w:t>
      </w:r>
      <w:r w:rsidR="00F85D31">
        <w:t>có nêu chủ trương, đường lối</w:t>
      </w:r>
      <w:r w:rsidR="008B6997">
        <w:t xml:space="preserve"> về xây dựng pháp luật,</w:t>
      </w:r>
      <w:r w:rsidR="00F85D31">
        <w:t xml:space="preserve"> </w:t>
      </w:r>
      <w:r w:rsidR="00CB6135">
        <w:t>các Điều ước quốc tế mà Việt Nam là thành viên</w:t>
      </w:r>
      <w:r w:rsidR="00B57DD3">
        <w:t>.</w:t>
      </w:r>
    </w:p>
    <w:p w:rsidR="00893D39" w:rsidRPr="00DB0498" w:rsidRDefault="00893D39" w:rsidP="00FE3D40">
      <w:pPr>
        <w:keepNext/>
        <w:spacing w:before="120" w:after="120" w:line="240" w:lineRule="auto"/>
        <w:ind w:firstLine="720"/>
        <w:rPr>
          <w:b/>
        </w:rPr>
      </w:pPr>
      <w:r w:rsidRPr="00DB0498">
        <w:rPr>
          <w:b/>
        </w:rPr>
        <w:t>II. KẾT QUẢ RÀ SOÁT</w:t>
      </w:r>
    </w:p>
    <w:p w:rsidR="00893D39" w:rsidRDefault="00893D39" w:rsidP="00893D39">
      <w:pPr>
        <w:spacing w:before="120" w:after="120" w:line="240" w:lineRule="auto"/>
        <w:ind w:firstLine="720"/>
        <w:rPr>
          <w:b/>
        </w:rPr>
      </w:pPr>
      <w:r w:rsidRPr="00DB0498">
        <w:rPr>
          <w:b/>
        </w:rPr>
        <w:t>1. Chủ trương, đường lối của Đảng có liên quan đến dự thảo</w:t>
      </w:r>
      <w:r w:rsidR="005711DF">
        <w:rPr>
          <w:b/>
        </w:rPr>
        <w:t xml:space="preserve"> Nghị định</w:t>
      </w:r>
    </w:p>
    <w:p w:rsidR="00D866AA" w:rsidRDefault="00F43450" w:rsidP="00F43450">
      <w:pPr>
        <w:spacing w:before="120" w:after="120" w:line="240" w:lineRule="auto"/>
        <w:ind w:firstLine="720"/>
      </w:pPr>
      <w:r w:rsidRPr="00C62205">
        <w:t>Bộ</w:t>
      </w:r>
      <w:r w:rsidR="00C62205" w:rsidRPr="00C62205">
        <w:t xml:space="preserve"> Tư pháp</w:t>
      </w:r>
      <w:r w:rsidR="00C62205">
        <w:rPr>
          <w:b/>
        </w:rPr>
        <w:t xml:space="preserve"> </w:t>
      </w:r>
      <w:r w:rsidR="001A6203">
        <w:t xml:space="preserve">đã thực hiện rà soát các Nghị quyết của Bộ Chính trị, Chính phủ, </w:t>
      </w:r>
      <w:r w:rsidR="00F311AB">
        <w:t xml:space="preserve">các </w:t>
      </w:r>
      <w:r w:rsidR="001A6203">
        <w:t>Thông báo kết luận của Tổng Bí thư</w:t>
      </w:r>
      <w:r w:rsidR="0057152F">
        <w:t>, Thường trực Chính phủ</w:t>
      </w:r>
      <w:r w:rsidR="001A6203">
        <w:t xml:space="preserve">… </w:t>
      </w:r>
      <w:r w:rsidR="00496F8B">
        <w:t xml:space="preserve">có nêu chủ trương, đường lối, nhiệm vụ, biện pháp có liên quan đến </w:t>
      </w:r>
      <w:r w:rsidR="003278EC">
        <w:t>xây dựng pháp luật, ban hành văn bản bãi bỏ.</w:t>
      </w:r>
    </w:p>
    <w:p w:rsidR="00AD16BE" w:rsidRDefault="007B0B72" w:rsidP="00AD16BE">
      <w:pPr>
        <w:spacing w:before="120" w:after="120" w:line="240" w:lineRule="auto"/>
        <w:ind w:firstLine="720"/>
      </w:pPr>
      <w:r>
        <w:t>Qua rà soát, dự thảo Nghị định đã bám sát các chủ trương, định hướng, chỉ đạo tại các văn bả</w:t>
      </w:r>
      <w:r w:rsidR="006D5C2C">
        <w:t>n nêu</w:t>
      </w:r>
      <w:r w:rsidR="00305F26">
        <w:t xml:space="preserve"> trên.</w:t>
      </w:r>
      <w:r w:rsidR="006001D3">
        <w:t xml:space="preserve"> Cụ thể như sau:</w:t>
      </w:r>
    </w:p>
    <w:tbl>
      <w:tblPr>
        <w:tblStyle w:val="TableGrid"/>
        <w:tblW w:w="9288" w:type="dxa"/>
        <w:tblLook w:val="04A0" w:firstRow="1" w:lastRow="0" w:firstColumn="1" w:lastColumn="0" w:noHBand="0" w:noVBand="1"/>
      </w:tblPr>
      <w:tblGrid>
        <w:gridCol w:w="4248"/>
        <w:gridCol w:w="1672"/>
        <w:gridCol w:w="2126"/>
        <w:gridCol w:w="1242"/>
      </w:tblGrid>
      <w:tr w:rsidR="006001D3" w:rsidRPr="006001D3" w:rsidTr="00F9442C">
        <w:trPr>
          <w:tblHeader/>
        </w:trPr>
        <w:tc>
          <w:tcPr>
            <w:tcW w:w="4248" w:type="dxa"/>
          </w:tcPr>
          <w:p w:rsidR="006001D3" w:rsidRPr="008B6997" w:rsidRDefault="006001D3" w:rsidP="008F2337">
            <w:pPr>
              <w:widowControl w:val="0"/>
              <w:jc w:val="center"/>
              <w:rPr>
                <w:b/>
              </w:rPr>
            </w:pPr>
            <w:r w:rsidRPr="008B6997">
              <w:rPr>
                <w:b/>
              </w:rPr>
              <w:lastRenderedPageBreak/>
              <w:t>Chủ trương, đường lối của Đảng</w:t>
            </w:r>
          </w:p>
        </w:tc>
        <w:tc>
          <w:tcPr>
            <w:tcW w:w="1672" w:type="dxa"/>
          </w:tcPr>
          <w:p w:rsidR="006001D3" w:rsidRPr="008B6997" w:rsidRDefault="006001D3" w:rsidP="008F2337">
            <w:pPr>
              <w:widowControl w:val="0"/>
              <w:jc w:val="center"/>
              <w:rPr>
                <w:b/>
              </w:rPr>
            </w:pPr>
            <w:r w:rsidRPr="008B6997">
              <w:rPr>
                <w:b/>
              </w:rPr>
              <w:t>Quy định của dự thảo Nghị định</w:t>
            </w:r>
          </w:p>
        </w:tc>
        <w:tc>
          <w:tcPr>
            <w:tcW w:w="2126" w:type="dxa"/>
          </w:tcPr>
          <w:p w:rsidR="006001D3" w:rsidRPr="008B6997" w:rsidRDefault="006001D3" w:rsidP="008F2337">
            <w:pPr>
              <w:widowControl w:val="0"/>
              <w:jc w:val="center"/>
              <w:rPr>
                <w:b/>
              </w:rPr>
            </w:pPr>
            <w:r w:rsidRPr="008B6997">
              <w:rPr>
                <w:b/>
              </w:rPr>
              <w:t>Đánh giá</w:t>
            </w:r>
          </w:p>
        </w:tc>
        <w:tc>
          <w:tcPr>
            <w:tcW w:w="1242" w:type="dxa"/>
          </w:tcPr>
          <w:p w:rsidR="006001D3" w:rsidRPr="008B6997" w:rsidRDefault="006001D3" w:rsidP="008F2337">
            <w:pPr>
              <w:widowControl w:val="0"/>
              <w:jc w:val="center"/>
              <w:rPr>
                <w:b/>
              </w:rPr>
            </w:pPr>
            <w:r w:rsidRPr="008B6997">
              <w:rPr>
                <w:b/>
              </w:rPr>
              <w:t>Đề xuất xử lý</w:t>
            </w:r>
          </w:p>
        </w:tc>
      </w:tr>
      <w:tr w:rsidR="006001D3" w:rsidRPr="006001D3" w:rsidTr="00F9442C">
        <w:tc>
          <w:tcPr>
            <w:tcW w:w="4248" w:type="dxa"/>
          </w:tcPr>
          <w:p w:rsidR="006001D3" w:rsidRPr="008B6997" w:rsidRDefault="00E30229" w:rsidP="008F2337">
            <w:pPr>
              <w:widowControl w:val="0"/>
            </w:pPr>
            <w:r w:rsidRPr="008B6997">
              <w:t>Nghị quyết 66-NQ/TW ngày 30/04/2025 của Bộ Chính trị đổi mới công tác xây dựng và thi hành pháp luật đáp ứng yêu cầu phát triển đất nước trong kỷ nguyên mới do Ban Chấp hành Trung ương ban hành</w:t>
            </w:r>
          </w:p>
        </w:tc>
        <w:tc>
          <w:tcPr>
            <w:tcW w:w="1672" w:type="dxa"/>
          </w:tcPr>
          <w:p w:rsidR="006001D3" w:rsidRPr="004A5A1F" w:rsidRDefault="004A5A1F" w:rsidP="008F2337">
            <w:pPr>
              <w:widowControl w:val="0"/>
            </w:pPr>
            <w:r w:rsidRPr="004A5A1F">
              <w:t>Nội dung dự thảo nghị định</w:t>
            </w:r>
          </w:p>
        </w:tc>
        <w:tc>
          <w:tcPr>
            <w:tcW w:w="2126" w:type="dxa"/>
          </w:tcPr>
          <w:p w:rsidR="006001D3" w:rsidRPr="008B6997" w:rsidRDefault="004A5A1F" w:rsidP="00922C1C">
            <w:pPr>
              <w:widowControl w:val="0"/>
            </w:pPr>
            <w:r>
              <w:t>Phù hợp</w:t>
            </w:r>
            <w:r w:rsidR="00922C1C">
              <w:t xml:space="preserve"> </w:t>
            </w:r>
            <w:r w:rsidR="003278EC">
              <w:t>với nội dung của Nghị quyết</w:t>
            </w:r>
          </w:p>
        </w:tc>
        <w:tc>
          <w:tcPr>
            <w:tcW w:w="1242" w:type="dxa"/>
          </w:tcPr>
          <w:p w:rsidR="006001D3" w:rsidRPr="008B6997" w:rsidRDefault="006001D3" w:rsidP="008F2337">
            <w:pPr>
              <w:widowControl w:val="0"/>
              <w:rPr>
                <w:b/>
              </w:rPr>
            </w:pPr>
          </w:p>
        </w:tc>
      </w:tr>
      <w:tr w:rsidR="006001D3" w:rsidRPr="006001D3" w:rsidTr="00F9442C">
        <w:tc>
          <w:tcPr>
            <w:tcW w:w="4248" w:type="dxa"/>
          </w:tcPr>
          <w:p w:rsidR="00841DCC" w:rsidRPr="00841DCC" w:rsidRDefault="00841DCC" w:rsidP="00841DCC">
            <w:pPr>
              <w:widowControl w:val="0"/>
              <w:rPr>
                <w:bCs/>
              </w:rPr>
            </w:pPr>
            <w:r w:rsidRPr="00841DCC">
              <w:rPr>
                <w:bCs/>
              </w:rPr>
              <w:t xml:space="preserve">Nghị quyết số 27-NQ/TW  ngày 9/11/2022 Hội nghị lần thứ 6 Ban </w:t>
            </w:r>
            <w:r w:rsidRPr="00841DCC">
              <w:t>Chấp</w:t>
            </w:r>
            <w:r w:rsidRPr="00841DCC">
              <w:rPr>
                <w:bCs/>
              </w:rPr>
              <w:t xml:space="preserve"> hành Trung ương Đảng khóa XIII về tiếp tục xây dựng, hoàn thiện Nhà nước pháp quyền XHCN Việt Nam trong giai đoạn mới</w:t>
            </w:r>
          </w:p>
          <w:p w:rsidR="006001D3" w:rsidRPr="006001D3" w:rsidRDefault="006001D3" w:rsidP="008F2337">
            <w:pPr>
              <w:widowControl w:val="0"/>
              <w:rPr>
                <w:sz w:val="24"/>
                <w:szCs w:val="24"/>
              </w:rPr>
            </w:pPr>
          </w:p>
        </w:tc>
        <w:tc>
          <w:tcPr>
            <w:tcW w:w="1672" w:type="dxa"/>
          </w:tcPr>
          <w:p w:rsidR="006001D3" w:rsidRPr="006001D3" w:rsidRDefault="008B65EC" w:rsidP="008F2337">
            <w:pPr>
              <w:widowControl w:val="0"/>
              <w:rPr>
                <w:sz w:val="24"/>
                <w:szCs w:val="24"/>
              </w:rPr>
            </w:pPr>
            <w:r w:rsidRPr="004A5A1F">
              <w:t>Nội dung dự thảo nghị định</w:t>
            </w:r>
          </w:p>
        </w:tc>
        <w:tc>
          <w:tcPr>
            <w:tcW w:w="2126" w:type="dxa"/>
          </w:tcPr>
          <w:p w:rsidR="006001D3" w:rsidRPr="006001D3" w:rsidRDefault="008B65EC" w:rsidP="008F2337">
            <w:pPr>
              <w:widowControl w:val="0"/>
              <w:rPr>
                <w:sz w:val="24"/>
                <w:szCs w:val="24"/>
              </w:rPr>
            </w:pPr>
            <w:r>
              <w:t>Phù hợp</w:t>
            </w:r>
            <w:r w:rsidR="00922C1C">
              <w:t xml:space="preserve"> với nội dung của Nghị quyết</w:t>
            </w:r>
          </w:p>
        </w:tc>
        <w:tc>
          <w:tcPr>
            <w:tcW w:w="1242" w:type="dxa"/>
          </w:tcPr>
          <w:p w:rsidR="006001D3" w:rsidRPr="006001D3" w:rsidRDefault="006001D3" w:rsidP="008F2337">
            <w:pPr>
              <w:widowControl w:val="0"/>
              <w:rPr>
                <w:sz w:val="24"/>
                <w:szCs w:val="24"/>
              </w:rPr>
            </w:pPr>
          </w:p>
        </w:tc>
      </w:tr>
      <w:tr w:rsidR="006001D3" w:rsidRPr="006001D3" w:rsidTr="00F9442C">
        <w:tc>
          <w:tcPr>
            <w:tcW w:w="4248" w:type="dxa"/>
          </w:tcPr>
          <w:p w:rsidR="006001D3" w:rsidRPr="006001D3" w:rsidRDefault="008D4D49" w:rsidP="008D4D49">
            <w:pPr>
              <w:rPr>
                <w:i/>
                <w:sz w:val="24"/>
                <w:szCs w:val="24"/>
              </w:rPr>
            </w:pPr>
            <w:r w:rsidRPr="003E1196">
              <w:t xml:space="preserve">Quy định số 178-QĐ/TW </w:t>
            </w:r>
            <w:r>
              <w:t xml:space="preserve">ngày 27/6/2024 </w:t>
            </w:r>
            <w:r w:rsidRPr="003E1196">
              <w:t>của Bộ Chính trị về kiểm soát quyền lực, phòng, chống tham nhũng, tiêu cực trong công tác xây dựng pháp luật</w:t>
            </w:r>
            <w:r>
              <w:t xml:space="preserve"> có quy định về việc thường xuyên giám sát, kiểm tra công tác xây dựng pháp luật, rà soát, hệ thống hóa, văn bản quy phạm để phòng ngừa, phát hiện, xử lý </w:t>
            </w:r>
            <w:r w:rsidRPr="009803EA">
              <w:t>hành vi tham nhũng, tiêu cực, lợi ích nhóm, cục bộ trong công tác xây dựng pháp luật và kịp thời ban hành, sửa đổi, bổ sung hoặc kiến nghị ban hành, sửa đổi, bổ sung văn bản quy phạm pháp luậ</w:t>
            </w:r>
            <w:r>
              <w:t xml:space="preserve">t; </w:t>
            </w:r>
          </w:p>
        </w:tc>
        <w:tc>
          <w:tcPr>
            <w:tcW w:w="1672" w:type="dxa"/>
          </w:tcPr>
          <w:p w:rsidR="006001D3" w:rsidRPr="006001D3" w:rsidRDefault="008B65EC" w:rsidP="008F2337">
            <w:pPr>
              <w:widowControl w:val="0"/>
              <w:rPr>
                <w:sz w:val="24"/>
                <w:szCs w:val="24"/>
              </w:rPr>
            </w:pPr>
            <w:r w:rsidRPr="004A5A1F">
              <w:t>Nội dung dự thảo nghị định</w:t>
            </w:r>
          </w:p>
        </w:tc>
        <w:tc>
          <w:tcPr>
            <w:tcW w:w="2126" w:type="dxa"/>
          </w:tcPr>
          <w:p w:rsidR="006001D3" w:rsidRPr="006001D3" w:rsidRDefault="008B65EC" w:rsidP="003278EC">
            <w:pPr>
              <w:widowControl w:val="0"/>
              <w:rPr>
                <w:sz w:val="24"/>
                <w:szCs w:val="24"/>
              </w:rPr>
            </w:pPr>
            <w:r>
              <w:t>Phù hợp</w:t>
            </w:r>
            <w:r w:rsidR="00922C1C">
              <w:t xml:space="preserve"> với nội dung của </w:t>
            </w:r>
            <w:r w:rsidR="003278EC">
              <w:t>Quyết định</w:t>
            </w:r>
          </w:p>
        </w:tc>
        <w:tc>
          <w:tcPr>
            <w:tcW w:w="1242" w:type="dxa"/>
          </w:tcPr>
          <w:p w:rsidR="006001D3" w:rsidRPr="006001D3" w:rsidRDefault="006001D3" w:rsidP="008F2337">
            <w:pPr>
              <w:widowControl w:val="0"/>
              <w:rPr>
                <w:b/>
                <w:sz w:val="24"/>
                <w:szCs w:val="24"/>
              </w:rPr>
            </w:pPr>
          </w:p>
        </w:tc>
      </w:tr>
      <w:tr w:rsidR="006001D3" w:rsidRPr="006001D3" w:rsidTr="00F9442C">
        <w:tc>
          <w:tcPr>
            <w:tcW w:w="4248" w:type="dxa"/>
          </w:tcPr>
          <w:p w:rsidR="006001D3" w:rsidRPr="006001D3" w:rsidRDefault="008D4D49" w:rsidP="008F2337">
            <w:pPr>
              <w:widowControl w:val="0"/>
              <w:rPr>
                <w:sz w:val="24"/>
                <w:szCs w:val="24"/>
              </w:rPr>
            </w:pPr>
            <w:r>
              <w:t>Nghị quyết số 126/NQ-CP ngày 14/8/2023 của Chính phủ về một số giải pháp nâng cao chất lượng công tác xây dựng, hoàn thiện hệ thống pháp luật và tổ chức thi hành pháp luật nhằm ngăn ngừa tình trạng tham nhũng, lợi ích nhóm, lợi ích cục bộ</w:t>
            </w:r>
          </w:p>
        </w:tc>
        <w:tc>
          <w:tcPr>
            <w:tcW w:w="1672" w:type="dxa"/>
          </w:tcPr>
          <w:p w:rsidR="006001D3" w:rsidRPr="006001D3" w:rsidRDefault="008B65EC" w:rsidP="008F2337">
            <w:pPr>
              <w:widowControl w:val="0"/>
              <w:rPr>
                <w:sz w:val="24"/>
                <w:szCs w:val="24"/>
              </w:rPr>
            </w:pPr>
            <w:r w:rsidRPr="004A5A1F">
              <w:t>Nội dung dự thảo nghị định</w:t>
            </w:r>
          </w:p>
        </w:tc>
        <w:tc>
          <w:tcPr>
            <w:tcW w:w="2126" w:type="dxa"/>
          </w:tcPr>
          <w:p w:rsidR="006001D3" w:rsidRPr="006001D3" w:rsidRDefault="008B65EC" w:rsidP="008F2337">
            <w:pPr>
              <w:widowControl w:val="0"/>
              <w:rPr>
                <w:sz w:val="24"/>
                <w:szCs w:val="24"/>
              </w:rPr>
            </w:pPr>
            <w:r>
              <w:t>Phù hợp</w:t>
            </w:r>
            <w:r w:rsidR="00922C1C">
              <w:t xml:space="preserve"> với nội dung của Nghị quyết</w:t>
            </w:r>
          </w:p>
        </w:tc>
        <w:tc>
          <w:tcPr>
            <w:tcW w:w="1242" w:type="dxa"/>
          </w:tcPr>
          <w:p w:rsidR="006001D3" w:rsidRPr="006001D3" w:rsidRDefault="006001D3" w:rsidP="008F2337">
            <w:pPr>
              <w:widowControl w:val="0"/>
              <w:rPr>
                <w:sz w:val="24"/>
                <w:szCs w:val="24"/>
              </w:rPr>
            </w:pPr>
          </w:p>
        </w:tc>
      </w:tr>
    </w:tbl>
    <w:p w:rsidR="00893D39" w:rsidRPr="00DB0498" w:rsidRDefault="00893D39" w:rsidP="00893D39">
      <w:pPr>
        <w:spacing w:before="120" w:after="120" w:line="240" w:lineRule="auto"/>
        <w:ind w:firstLine="720"/>
        <w:rPr>
          <w:b/>
        </w:rPr>
      </w:pPr>
      <w:r w:rsidRPr="00DB0498">
        <w:rPr>
          <w:b/>
        </w:rPr>
        <w:t>2. Văn bản quy phạm pháp luật có liên quan đến dự thảo</w:t>
      </w:r>
      <w:r w:rsidR="00DB0498">
        <w:rPr>
          <w:b/>
        </w:rPr>
        <w:t xml:space="preserve"> Nghị định</w:t>
      </w:r>
    </w:p>
    <w:p w:rsidR="00804A8B" w:rsidRDefault="00893D39" w:rsidP="00893D39">
      <w:pPr>
        <w:spacing w:before="120" w:after="120" w:line="240" w:lineRule="auto"/>
        <w:ind w:firstLine="720"/>
      </w:pPr>
      <w:r>
        <w:t>Tổng số văn bản quy phạm pháp luật được rà soát liên quan đến dự thảo</w:t>
      </w:r>
      <w:r w:rsidR="00804A8B">
        <w:t xml:space="preserve"> nghị định là</w:t>
      </w:r>
      <w:r>
        <w:t xml:space="preserve"> </w:t>
      </w:r>
      <w:r w:rsidR="00B00DE5">
        <w:t>10</w:t>
      </w:r>
      <w:r w:rsidR="00804A8B">
        <w:t xml:space="preserve"> Nghị định.</w:t>
      </w:r>
      <w:r w:rsidR="00BF7E26">
        <w:t xml:space="preserve"> </w:t>
      </w:r>
      <w:r w:rsidR="00E32C6F">
        <w:t>Qua rà soát, dự thảo Nghị định được xây dựng phù hợp với quy định của các văn bản quy phạm pháp luật có liên quan, c</w:t>
      </w:r>
      <w:r w:rsidR="00BF7E26">
        <w:t>ụ thể:</w:t>
      </w:r>
    </w:p>
    <w:tbl>
      <w:tblPr>
        <w:tblStyle w:val="TableGrid"/>
        <w:tblW w:w="9468" w:type="dxa"/>
        <w:tblLayout w:type="fixed"/>
        <w:tblLook w:val="04A0" w:firstRow="1" w:lastRow="0" w:firstColumn="1" w:lastColumn="0" w:noHBand="0" w:noVBand="1"/>
      </w:tblPr>
      <w:tblGrid>
        <w:gridCol w:w="3078"/>
        <w:gridCol w:w="3510"/>
        <w:gridCol w:w="1890"/>
        <w:gridCol w:w="990"/>
      </w:tblGrid>
      <w:tr w:rsidR="00233E96" w:rsidRPr="00233E96" w:rsidTr="00F9442C">
        <w:trPr>
          <w:tblHeader/>
        </w:trPr>
        <w:tc>
          <w:tcPr>
            <w:tcW w:w="3078" w:type="dxa"/>
          </w:tcPr>
          <w:p w:rsidR="00233E96" w:rsidRPr="00233E96" w:rsidRDefault="00233E96" w:rsidP="008F2337">
            <w:pPr>
              <w:jc w:val="center"/>
              <w:rPr>
                <w:b/>
                <w:sz w:val="24"/>
                <w:szCs w:val="24"/>
              </w:rPr>
            </w:pPr>
            <w:r w:rsidRPr="00233E96">
              <w:rPr>
                <w:b/>
                <w:sz w:val="24"/>
                <w:szCs w:val="24"/>
              </w:rPr>
              <w:lastRenderedPageBreak/>
              <w:t>Quy định của dự thảo Nghị định</w:t>
            </w:r>
          </w:p>
        </w:tc>
        <w:tc>
          <w:tcPr>
            <w:tcW w:w="3510" w:type="dxa"/>
          </w:tcPr>
          <w:p w:rsidR="00233E96" w:rsidRPr="00EF1A52" w:rsidRDefault="00233E96" w:rsidP="008F2337">
            <w:pPr>
              <w:jc w:val="center"/>
              <w:rPr>
                <w:b/>
              </w:rPr>
            </w:pPr>
            <w:r w:rsidRPr="00EF1A52">
              <w:rPr>
                <w:b/>
              </w:rPr>
              <w:t>Quy định của pháp luật hiện hành có liên quan</w:t>
            </w:r>
          </w:p>
        </w:tc>
        <w:tc>
          <w:tcPr>
            <w:tcW w:w="1890" w:type="dxa"/>
          </w:tcPr>
          <w:p w:rsidR="00233E96" w:rsidRPr="00EF1A52" w:rsidRDefault="00233E96" w:rsidP="008F2337">
            <w:pPr>
              <w:jc w:val="center"/>
              <w:rPr>
                <w:b/>
              </w:rPr>
            </w:pPr>
            <w:r w:rsidRPr="00EF1A52">
              <w:rPr>
                <w:b/>
              </w:rPr>
              <w:t>Đánh giá</w:t>
            </w:r>
          </w:p>
        </w:tc>
        <w:tc>
          <w:tcPr>
            <w:tcW w:w="990" w:type="dxa"/>
          </w:tcPr>
          <w:p w:rsidR="00233E96" w:rsidRPr="00233E96" w:rsidRDefault="00233E96" w:rsidP="008F2337">
            <w:pPr>
              <w:jc w:val="center"/>
              <w:rPr>
                <w:b/>
                <w:sz w:val="24"/>
                <w:szCs w:val="24"/>
              </w:rPr>
            </w:pPr>
            <w:r w:rsidRPr="00233E96">
              <w:rPr>
                <w:b/>
                <w:sz w:val="24"/>
                <w:szCs w:val="24"/>
              </w:rPr>
              <w:t>Đề xuất xử lý</w:t>
            </w:r>
          </w:p>
        </w:tc>
      </w:tr>
      <w:tr w:rsidR="00617CD1" w:rsidRPr="00233E96" w:rsidTr="00F9442C">
        <w:tc>
          <w:tcPr>
            <w:tcW w:w="3078" w:type="dxa"/>
          </w:tcPr>
          <w:p w:rsidR="00617CD1" w:rsidRPr="00EF1A52" w:rsidRDefault="00617CD1" w:rsidP="00430A8D">
            <w:r w:rsidRPr="00EF1A52">
              <w:rPr>
                <w:lang w:val="pt-BR"/>
              </w:rPr>
              <w:t>Nghị định số 35/2005/NĐ-CP ngày 17 tháng 3 năm 2005 của Chính phủ về việc xử lý kỷ luật cán bộ, công chức</w:t>
            </w:r>
          </w:p>
        </w:tc>
        <w:tc>
          <w:tcPr>
            <w:tcW w:w="3510" w:type="dxa"/>
          </w:tcPr>
          <w:p w:rsidR="008B65EC" w:rsidRPr="006B0D5C" w:rsidRDefault="008B65EC" w:rsidP="008B65EC">
            <w:pPr>
              <w:spacing w:before="20" w:after="20"/>
              <w:rPr>
                <w:iCs/>
                <w:lang w:val="fr-FR"/>
              </w:rPr>
            </w:pPr>
            <w:r w:rsidRPr="006B0D5C">
              <w:rPr>
                <w:iCs/>
                <w:lang w:val="fr-FR"/>
              </w:rPr>
              <w:t>- Nghị định số 35/2005/NĐ-CP đã hết hiệu lực một phần:</w:t>
            </w:r>
          </w:p>
          <w:p w:rsidR="008B65EC" w:rsidRPr="006B0D5C" w:rsidRDefault="008B65EC" w:rsidP="008B65EC">
            <w:pPr>
              <w:spacing w:before="20" w:after="20"/>
              <w:rPr>
                <w:iCs/>
                <w:lang w:val="fr-FR"/>
              </w:rPr>
            </w:pPr>
            <w:r w:rsidRPr="006B0D5C">
              <w:rPr>
                <w:iCs/>
                <w:lang w:val="fr-FR"/>
              </w:rPr>
              <w:tab/>
              <w:t>+ Quy định về xử lý kỷ luật đối với công chức bị bãi bỏ bởi khoản 2 Điều 25 Nghị định 34/2011/NĐ-CP</w:t>
            </w:r>
            <w:r w:rsidRPr="006B0D5C">
              <w:rPr>
                <w:iCs/>
                <w:vertAlign w:val="superscript"/>
                <w:lang w:val="fr-FR"/>
              </w:rPr>
              <w:footnoteReference w:id="1"/>
            </w:r>
            <w:r w:rsidRPr="006B0D5C">
              <w:rPr>
                <w:iCs/>
                <w:lang w:val="fr-FR"/>
              </w:rPr>
              <w:t xml:space="preserve">. </w:t>
            </w:r>
          </w:p>
          <w:p w:rsidR="008B65EC" w:rsidRPr="006B0D5C" w:rsidRDefault="008B65EC" w:rsidP="008B65EC">
            <w:pPr>
              <w:spacing w:before="20" w:after="20"/>
              <w:rPr>
                <w:iCs/>
                <w:lang w:val="fr-FR"/>
              </w:rPr>
            </w:pPr>
            <w:r w:rsidRPr="006B0D5C">
              <w:rPr>
                <w:iCs/>
                <w:lang w:val="fr-FR"/>
              </w:rPr>
              <w:tab/>
              <w:t>+ Quy định về xử lý kỷ luật đối với viên chức bị bãi bỏ bởi khoản 2 Điều 40 Nghị định 27/2012/NĐ-CP</w:t>
            </w:r>
            <w:r w:rsidRPr="006B0D5C">
              <w:rPr>
                <w:iCs/>
                <w:lang w:val="fr-FR"/>
              </w:rPr>
              <w:footnoteReference w:id="2"/>
            </w:r>
            <w:r w:rsidRPr="006B0D5C">
              <w:rPr>
                <w:iCs/>
                <w:lang w:val="fr-FR"/>
              </w:rPr>
              <w:t xml:space="preserve"> ngày 06/4/2012.</w:t>
            </w:r>
          </w:p>
          <w:p w:rsidR="008B65EC" w:rsidRPr="006B0D5C" w:rsidRDefault="008B65EC" w:rsidP="008B65EC">
            <w:pPr>
              <w:spacing w:before="20" w:after="20"/>
              <w:rPr>
                <w:iCs/>
                <w:vertAlign w:val="superscript"/>
                <w:lang w:val="fr-FR"/>
              </w:rPr>
            </w:pPr>
            <w:r w:rsidRPr="006B0D5C">
              <w:rPr>
                <w:iCs/>
                <w:lang w:val="fr-FR"/>
              </w:rPr>
              <w:tab/>
              <w:t>+ Nội dung liên quan đến xử lý kỷ luật cán bộ bị bãi bỏ bởi điểm d khoản 2 Điều 44 Nghị định số 112/2020/NĐ-CP</w:t>
            </w:r>
            <w:r w:rsidRPr="006B0D5C">
              <w:rPr>
                <w:iCs/>
                <w:vertAlign w:val="superscript"/>
                <w:lang w:val="fr-FR"/>
              </w:rPr>
              <w:footnoteReference w:id="3"/>
            </w:r>
          </w:p>
          <w:p w:rsidR="00617CD1" w:rsidRPr="00EF1A52" w:rsidRDefault="008B65EC" w:rsidP="00BC1B25">
            <w:pPr>
              <w:spacing w:before="120"/>
            </w:pPr>
            <w:r w:rsidRPr="006B0D5C">
              <w:rPr>
                <w:iCs/>
                <w:lang w:val="fr-FR"/>
              </w:rPr>
              <w:t xml:space="preserve"> </w:t>
            </w:r>
            <w:r w:rsidRPr="006B0D5C">
              <w:rPr>
                <w:iCs/>
                <w:lang w:val="fr-FR"/>
              </w:rPr>
              <w:tab/>
              <w:t>Các nội dung cơ bản của Nghị định số 35/2005/NĐ-CP đã hết hiệu lực pháp luật. Nghị định 35/2005/NĐ-CP hiện không còn được áp dụng trên thực tế.</w:t>
            </w:r>
          </w:p>
        </w:tc>
        <w:tc>
          <w:tcPr>
            <w:tcW w:w="1890" w:type="dxa"/>
          </w:tcPr>
          <w:p w:rsidR="00617CD1" w:rsidRPr="00EF1A52" w:rsidRDefault="00617CD1" w:rsidP="008F2337">
            <w:r w:rsidRPr="00EF1A52">
              <w:t>Không tạo ra khoảng trống pháp lý</w:t>
            </w:r>
          </w:p>
        </w:tc>
        <w:tc>
          <w:tcPr>
            <w:tcW w:w="990" w:type="dxa"/>
          </w:tcPr>
          <w:p w:rsidR="00617CD1" w:rsidRPr="00233E96" w:rsidRDefault="00617CD1" w:rsidP="008F2337">
            <w:pPr>
              <w:rPr>
                <w:sz w:val="24"/>
                <w:szCs w:val="24"/>
              </w:rPr>
            </w:pPr>
          </w:p>
        </w:tc>
      </w:tr>
      <w:tr w:rsidR="008B65EC" w:rsidRPr="00233E96" w:rsidTr="00F9442C">
        <w:tc>
          <w:tcPr>
            <w:tcW w:w="3078" w:type="dxa"/>
          </w:tcPr>
          <w:p w:rsidR="008B65EC" w:rsidRPr="00EF1A52" w:rsidRDefault="008B65EC" w:rsidP="00430A8D">
            <w:pPr>
              <w:rPr>
                <w:i/>
              </w:rPr>
            </w:pPr>
            <w:r w:rsidRPr="00EF1A52">
              <w:rPr>
                <w:lang w:val="pt-BR"/>
              </w:rPr>
              <w:t>Nghị định số 105/2006/NĐ-CP ngày 22 tháng 9 năm 2006 của Chính phủ quy định chi tiết và hướng dẫn thi hành một số điều của Luật Sở hữu trí tuệ về bảo vệ quyền sở hữu trí tuệ và quản lý nhà nước về sở hữu trí tuệ</w:t>
            </w:r>
          </w:p>
        </w:tc>
        <w:tc>
          <w:tcPr>
            <w:tcW w:w="3510" w:type="dxa"/>
            <w:vMerge w:val="restart"/>
          </w:tcPr>
          <w:p w:rsidR="008B65EC" w:rsidRPr="00EF1A52" w:rsidRDefault="008B65EC" w:rsidP="00BC1B25">
            <w:pPr>
              <w:spacing w:before="120"/>
              <w:rPr>
                <w:i/>
              </w:rPr>
            </w:pPr>
            <w:r w:rsidRPr="006B0D5C">
              <w:rPr>
                <w:lang w:val="pt-BR"/>
              </w:rPr>
              <w:t xml:space="preserve">Các nội dung liên quan đã được Chính phủ quy định tại Nghị định số 17/2023/NĐ-CP ngày 26/4/2023 quy định chi tiết một số điều và biện pháp thi hành Luật Sở hữu trí tuệ về quyền tác giả, quyền liên quan; Nghị định số 65/2023/NĐ-CP ngày 23/8/2023 quy định chi tiết một số điều và biện pháp thi hành Luật Sở hữu trí tuệ về sở hữu công nghiệp, bảo vệ </w:t>
            </w:r>
            <w:r w:rsidRPr="006B0D5C">
              <w:rPr>
                <w:lang w:val="pt-BR"/>
              </w:rPr>
              <w:lastRenderedPageBreak/>
              <w:t>quyền sở hữu công nghiệp, quyền đối với giống cây trồng và quản lý nhà nước về sở hữu trí tuệ; Nghị định số 79/2023/NĐ-CP ngày 15/11/2023 của Chính phủ quy định chi tiết một số điều và biện pháp thi hành Luật Sở hữu trí tuệ về quyền đối với giống cây trồng. Đồng thời, các nghị định nêu trên đã bãi bỏ nội dung của Nghị định số 105/2006/NĐ-CP và Nghị định số 119/2010/NĐ-CP.</w:t>
            </w:r>
          </w:p>
        </w:tc>
        <w:tc>
          <w:tcPr>
            <w:tcW w:w="1890" w:type="dxa"/>
          </w:tcPr>
          <w:p w:rsidR="008B65EC" w:rsidRPr="00EF1A52" w:rsidRDefault="008B65EC">
            <w:r w:rsidRPr="00EF1A52">
              <w:lastRenderedPageBreak/>
              <w:t>Không tạo ra khoảng trống pháp lý</w:t>
            </w:r>
          </w:p>
        </w:tc>
        <w:tc>
          <w:tcPr>
            <w:tcW w:w="990" w:type="dxa"/>
          </w:tcPr>
          <w:p w:rsidR="008B65EC" w:rsidRPr="00233E96" w:rsidRDefault="008B65EC" w:rsidP="008F2337">
            <w:pPr>
              <w:rPr>
                <w:sz w:val="24"/>
                <w:szCs w:val="24"/>
              </w:rPr>
            </w:pPr>
          </w:p>
        </w:tc>
      </w:tr>
      <w:tr w:rsidR="008B65EC" w:rsidRPr="00233E96" w:rsidTr="00F9442C">
        <w:tc>
          <w:tcPr>
            <w:tcW w:w="3078" w:type="dxa"/>
          </w:tcPr>
          <w:p w:rsidR="008B65EC" w:rsidRPr="00EF1A52" w:rsidRDefault="008B65EC" w:rsidP="00430A8D">
            <w:pPr>
              <w:pStyle w:val="NormalWeb"/>
              <w:shd w:val="clear" w:color="auto" w:fill="FFFFFF"/>
              <w:spacing w:before="120" w:beforeAutospacing="0" w:after="120" w:afterAutospacing="0"/>
              <w:jc w:val="both"/>
              <w:rPr>
                <w:sz w:val="28"/>
                <w:szCs w:val="28"/>
              </w:rPr>
            </w:pPr>
            <w:r w:rsidRPr="00EF1A52">
              <w:rPr>
                <w:sz w:val="28"/>
                <w:szCs w:val="28"/>
                <w:lang w:val="pt-BR"/>
              </w:rPr>
              <w:t xml:space="preserve">Nghị định số 119/2010/NĐ-CP ngày 30 tháng 12 năm 2010 </w:t>
            </w:r>
            <w:r w:rsidRPr="00EF1A52">
              <w:rPr>
                <w:sz w:val="28"/>
                <w:szCs w:val="28"/>
                <w:lang w:val="pt-BR"/>
              </w:rPr>
              <w:lastRenderedPageBreak/>
              <w:t xml:space="preserve">của Chính phủ </w:t>
            </w:r>
            <w:bookmarkStart w:id="1" w:name="dieu_1_1"/>
            <w:r w:rsidRPr="00EF1A52">
              <w:rPr>
                <w:sz w:val="28"/>
                <w:szCs w:val="28"/>
                <w:lang w:val="pt-BR"/>
              </w:rPr>
              <w:t>sửa đổi, bổ sung một số điều của Nghị định số </w:t>
            </w:r>
            <w:bookmarkEnd w:id="1"/>
            <w:r w:rsidRPr="00EF1A52">
              <w:rPr>
                <w:sz w:val="28"/>
                <w:szCs w:val="28"/>
                <w:lang w:val="pt-BR"/>
              </w:rPr>
              <w:t>105/2006/NĐ-CP ngày 22/9/2006 của Chính phủ quy định chi tiết và hướng dẫn thi hành một số điều của Luật Sở hữu trí tuệ về bảo vệ quyền sở hữu trí tuệ và quản lý nhà nước về sở hữu trí tuệ;</w:t>
            </w:r>
          </w:p>
        </w:tc>
        <w:tc>
          <w:tcPr>
            <w:tcW w:w="3510" w:type="dxa"/>
            <w:vMerge/>
          </w:tcPr>
          <w:p w:rsidR="008B65EC" w:rsidRPr="00EF1A52" w:rsidRDefault="008B65EC" w:rsidP="006C06BB">
            <w:pPr>
              <w:pStyle w:val="NormalWeb"/>
              <w:shd w:val="clear" w:color="auto" w:fill="FFFFFF"/>
              <w:spacing w:before="120" w:beforeAutospacing="0" w:after="120" w:afterAutospacing="0"/>
              <w:jc w:val="both"/>
              <w:rPr>
                <w:sz w:val="28"/>
                <w:szCs w:val="28"/>
              </w:rPr>
            </w:pPr>
          </w:p>
        </w:tc>
        <w:tc>
          <w:tcPr>
            <w:tcW w:w="1890" w:type="dxa"/>
          </w:tcPr>
          <w:p w:rsidR="008B65EC" w:rsidRPr="00EF1A52" w:rsidRDefault="008B65EC" w:rsidP="008F2337">
            <w:r w:rsidRPr="00EF1A52">
              <w:t>Không tạo ra khoảng trống pháp lý</w:t>
            </w:r>
          </w:p>
        </w:tc>
        <w:tc>
          <w:tcPr>
            <w:tcW w:w="990" w:type="dxa"/>
          </w:tcPr>
          <w:p w:rsidR="008B65EC" w:rsidRPr="00233E96" w:rsidRDefault="008B65EC" w:rsidP="008F2337">
            <w:pPr>
              <w:rPr>
                <w:sz w:val="24"/>
                <w:szCs w:val="24"/>
              </w:rPr>
            </w:pPr>
          </w:p>
        </w:tc>
      </w:tr>
      <w:tr w:rsidR="008B65EC" w:rsidRPr="00233E96" w:rsidTr="00F9442C">
        <w:tc>
          <w:tcPr>
            <w:tcW w:w="3078" w:type="dxa"/>
          </w:tcPr>
          <w:p w:rsidR="008B65EC" w:rsidRPr="00EF1A52" w:rsidRDefault="008B65EC" w:rsidP="00430A8D">
            <w:pPr>
              <w:pStyle w:val="NormalWeb"/>
              <w:shd w:val="clear" w:color="auto" w:fill="FFFFFF"/>
              <w:spacing w:before="120" w:beforeAutospacing="0" w:after="120" w:afterAutospacing="0"/>
              <w:jc w:val="both"/>
              <w:rPr>
                <w:sz w:val="28"/>
                <w:szCs w:val="28"/>
                <w:lang w:val="pt-BR"/>
              </w:rPr>
            </w:pPr>
            <w:r w:rsidRPr="00EF1A52">
              <w:rPr>
                <w:sz w:val="28"/>
                <w:szCs w:val="28"/>
              </w:rPr>
              <w:lastRenderedPageBreak/>
              <w:t>Nghị định số 35/2007/NĐ-CP ngày 08 tháng 3 năm 2007 của Chính phủ về giao dịch điện tử trong hoạt động ngân hàng;</w:t>
            </w:r>
          </w:p>
        </w:tc>
        <w:tc>
          <w:tcPr>
            <w:tcW w:w="3510" w:type="dxa"/>
          </w:tcPr>
          <w:p w:rsidR="008B65EC" w:rsidRPr="006B0D5C" w:rsidRDefault="008B65EC" w:rsidP="008B65EC">
            <w:r w:rsidRPr="006B0D5C">
              <w:t xml:space="preserve">-  Quy định phạm vi hoạt động ngân hàng giao dịch bằng phương tiện điện tử “không áp dụng trong việc phát hành hối phiếu và các giấy tờ có giá khác” (tại Điều 4 35/2007/NĐ-CP) nên được bãi bỏ để không cản trở các hoạt động phát hành hối phiếu, giấy tờ có giá bằng phương thức điện tử, phù hợp với quy định tại Khoản 3 Điều 1 Luật Giao dịch điện tử 2023: “Trường hợp luật khác quy định hoặc không quy định giao dịch được thực hiện bằng phương tiện điện tử thì được áp dụng theo quy định của Luật này. Trường hợp luật khác quy định không được thực hiện giao dịch bằng phương tiện điện tử thì thực hiện theo quy định của luật đó.” </w:t>
            </w:r>
          </w:p>
          <w:p w:rsidR="008B65EC" w:rsidRPr="006B0D5C" w:rsidRDefault="008B65EC" w:rsidP="008B65EC">
            <w:r w:rsidRPr="006B0D5C">
              <w:t xml:space="preserve">- Quy định cơ quan, tổ chức, cá nhân tham gia giao dịch điện tử trong hoạt động ngân </w:t>
            </w:r>
            <w:r w:rsidRPr="006B0D5C">
              <w:lastRenderedPageBreak/>
              <w:t xml:space="preserve">hàng phải “có chữ ký điện tử theo quy định của pháp luật” (tại Điểm c Khoản 2 Điều 5 Nghị định 35) mâu thuẫn với quy định “tự thỏa thuận về việc lựa chọn loại công nghệ, phương tiện điện tử, chữ ký điện tử, hình thức xác nhận khác bằng phương tiện điện tử để thực hiện giao dịch điện tử, trừ trường hợp luật có quy định khác” tại Khoản 2 Điều 4 Luật Giao dịch điện tử 2023; </w:t>
            </w:r>
          </w:p>
          <w:p w:rsidR="008B65EC" w:rsidRPr="006B0D5C" w:rsidRDefault="008B65EC" w:rsidP="008B65EC">
            <w:r w:rsidRPr="006B0D5C">
              <w:t>- Quy định về hủy chứng từ điện tử tại Điều 15; Chuyển đổi chứng từ điện tử thành chứng từ giấy (Điều 16); Tiêu hủy chứng từ điện tử tại Điều 23 của Nghị định 35 mâu thuẫn với quy định về nội dung, thời hạn lưu trữ đối với thông điệp dữ liệu tại Điều 13; quy định về chuyển đổi hình thức giữa văn bản giấy và thông điệp dữ liệu tại Điều 12 Luật Giao dịch điện tử 2023. Do quy định tại Luật Giao dịch điện tử năm 2023 cập nhật hơn và có liên kết đến những quy định cụ thể về quy trình lưu trữ chứng từ tại Điều 16, Điều 18, Điều 28 Luật Lưu trữ năm 2011.</w:t>
            </w:r>
          </w:p>
          <w:p w:rsidR="008B65EC" w:rsidRPr="006B0D5C" w:rsidRDefault="008B65EC" w:rsidP="008B65EC">
            <w:r w:rsidRPr="006B0D5C">
              <w:t xml:space="preserve">- Quy định về sử dụng và Tổ chức cung cấp dịch vụ chứng thực chữ ký điện tử trong hoạt động ngân hàng (Điều 6, Điều 7 Nghị định 35) không còn cần thiết và phù hợp vì đã được quy định tại </w:t>
            </w:r>
            <w:r w:rsidRPr="006B0D5C">
              <w:lastRenderedPageBreak/>
              <w:t xml:space="preserve">Điều 22, Điều 28, Điều 29 và Điều 30 của Luật Giao dịch điện tử 2023; </w:t>
            </w:r>
          </w:p>
          <w:p w:rsidR="008B65EC" w:rsidRPr="006B0D5C" w:rsidRDefault="008B65EC" w:rsidP="008B65EC">
            <w:r w:rsidRPr="006B0D5C">
              <w:t xml:space="preserve">- Các quy định về ghi nhật ký gửi, nhận chứng từ điện tử (Điều 18); Yêu cầu về bảo quản, lưu trữ chứng từ điện tử (Điều 20); Điều kiện đối với đơn vị bảo quản, lưu trữ chứng từ điện tử; phương án bảo quản lưu trữ chứng từ điện tử (Điều 22); trách nhiệm của tổ chức, cá nhân (Điều 24) của Nghị định 35 chồng chéo với quy định về hệ thống thông tin phục vụ giao dịch điện tử tại Điều 45, Điều 46, Điều 47 Luật Giao dịch điện tử 2023 và các quy định về bảo đảm an toàn thông tin quy định tại Luật An toàn thông tin mạng năm 2015, Luật An ninh mạng năm 2018; </w:t>
            </w:r>
          </w:p>
          <w:p w:rsidR="008B65EC" w:rsidRPr="00EF1A52" w:rsidRDefault="008B65EC" w:rsidP="00BC1B25">
            <w:pPr>
              <w:rPr>
                <w:lang w:val="pt-BR"/>
              </w:rPr>
            </w:pPr>
            <w:r w:rsidRPr="006B0D5C">
              <w:t xml:space="preserve">- Quy định về định dạng chứng từ điện tử (Điều 9 Nghị định 35) không còn cần thiết và phù hợp vì Luật Giao dịch điện tử 2023 đã quy định chi tiết về thông điệp dữ liệu (bao gồm chứng từ điện tử) tại Chương II, trong đó yêu cầu lưu trữ, truy cập, khuôn dạng của thông điệp dữ liệu được nêu tại Điều 13 của Luật. </w:t>
            </w:r>
          </w:p>
        </w:tc>
        <w:tc>
          <w:tcPr>
            <w:tcW w:w="1890" w:type="dxa"/>
          </w:tcPr>
          <w:p w:rsidR="008B65EC" w:rsidRPr="00EF1A52" w:rsidRDefault="008B65EC" w:rsidP="00430A8D">
            <w:r w:rsidRPr="00EF1A52">
              <w:lastRenderedPageBreak/>
              <w:t>Không tạo ra khoảng trống pháp lý</w:t>
            </w:r>
          </w:p>
        </w:tc>
        <w:tc>
          <w:tcPr>
            <w:tcW w:w="990" w:type="dxa"/>
          </w:tcPr>
          <w:p w:rsidR="008B65EC" w:rsidRPr="00233E96" w:rsidRDefault="008B65EC" w:rsidP="008F2337">
            <w:pPr>
              <w:rPr>
                <w:sz w:val="24"/>
                <w:szCs w:val="24"/>
              </w:rPr>
            </w:pPr>
          </w:p>
        </w:tc>
      </w:tr>
      <w:tr w:rsidR="008B65EC" w:rsidRPr="00233E96" w:rsidTr="00F9442C">
        <w:tc>
          <w:tcPr>
            <w:tcW w:w="3078" w:type="dxa"/>
          </w:tcPr>
          <w:p w:rsidR="008B65EC" w:rsidRPr="00EF1A52" w:rsidRDefault="008B65EC" w:rsidP="00430A8D">
            <w:pPr>
              <w:pStyle w:val="NormalWeb"/>
              <w:shd w:val="clear" w:color="auto" w:fill="FFFFFF"/>
              <w:spacing w:before="120" w:beforeAutospacing="0" w:after="120" w:afterAutospacing="0"/>
              <w:jc w:val="both"/>
              <w:rPr>
                <w:sz w:val="28"/>
                <w:szCs w:val="28"/>
                <w:lang w:val="pt-BR"/>
              </w:rPr>
            </w:pPr>
            <w:r w:rsidRPr="00EF1A52">
              <w:rPr>
                <w:sz w:val="28"/>
                <w:szCs w:val="28"/>
                <w:lang w:val="pt-BR"/>
              </w:rPr>
              <w:lastRenderedPageBreak/>
              <w:t xml:space="preserve">Nghị định số 27/2010/NĐ-CP ngày 24 tháng 3 năm 2010 của Chính phủ quy định việc huy động các lực lượng </w:t>
            </w:r>
            <w:r w:rsidRPr="00EF1A52">
              <w:rPr>
                <w:sz w:val="28"/>
                <w:szCs w:val="28"/>
                <w:lang w:val="pt-BR"/>
              </w:rPr>
              <w:lastRenderedPageBreak/>
              <w:t>Cảnh sát khác và Công an xã phối hợp với Cảnh sát giao thông đường bộ tham gia tuần tra, kiểm soát trật tự, an toàn giao thông đường bộ trong trường hợp cần thiết;</w:t>
            </w:r>
          </w:p>
        </w:tc>
        <w:tc>
          <w:tcPr>
            <w:tcW w:w="3510" w:type="dxa"/>
          </w:tcPr>
          <w:p w:rsidR="008B65EC" w:rsidRPr="00EF1A52" w:rsidRDefault="008B65EC" w:rsidP="00BC1B25">
            <w:pPr>
              <w:spacing w:before="20" w:after="20"/>
              <w:rPr>
                <w:lang w:val="pt-BR"/>
              </w:rPr>
            </w:pPr>
            <w:r w:rsidRPr="006B0D5C">
              <w:rPr>
                <w:lang w:val="fr-FR"/>
              </w:rPr>
              <w:lastRenderedPageBreak/>
              <w:t>Nội dung văn bản: đã được quy định tại điểm b khoản 3 Điều 65 Luật Trật tự, an toàn giao thông đường bộ số 36/2024/QH15 và Chương IV Thông tư số 73/2024/TT-</w:t>
            </w:r>
            <w:r w:rsidRPr="006B0D5C">
              <w:rPr>
                <w:lang w:val="fr-FR"/>
              </w:rPr>
              <w:lastRenderedPageBreak/>
              <w:t xml:space="preserve">BCA ngày 15/11/2024 của Bộ trưởng Bộ Công an quy định công tác tuần tra, kiểm soát, xử lý vi phạm pháp luật về trật tự, an toàn giao thông đường bộ của Cảnh sát giao thông (Huy động lực lượng khác trong Công an nhân dân tham gia phối hợp với Cảnh sát giao thông thực hiện tuần tra, kiểm soát trật tự, an toàn giao thông đường bộ trong trường hợp cần thiết). </w:t>
            </w:r>
          </w:p>
        </w:tc>
        <w:tc>
          <w:tcPr>
            <w:tcW w:w="1890" w:type="dxa"/>
          </w:tcPr>
          <w:p w:rsidR="008B65EC" w:rsidRPr="00EF1A52" w:rsidRDefault="008B65EC" w:rsidP="008F2337">
            <w:r w:rsidRPr="00EF1A52">
              <w:lastRenderedPageBreak/>
              <w:t>Không tạo ra khoảng trống pháp lý</w:t>
            </w:r>
          </w:p>
        </w:tc>
        <w:tc>
          <w:tcPr>
            <w:tcW w:w="990" w:type="dxa"/>
          </w:tcPr>
          <w:p w:rsidR="008B65EC" w:rsidRPr="00233E96" w:rsidRDefault="008B65EC" w:rsidP="008F2337">
            <w:pPr>
              <w:rPr>
                <w:sz w:val="24"/>
                <w:szCs w:val="24"/>
              </w:rPr>
            </w:pPr>
          </w:p>
        </w:tc>
      </w:tr>
      <w:tr w:rsidR="008B65EC" w:rsidRPr="00233E96" w:rsidTr="00F9442C">
        <w:tc>
          <w:tcPr>
            <w:tcW w:w="3078" w:type="dxa"/>
          </w:tcPr>
          <w:p w:rsidR="008B65EC" w:rsidRPr="00EF1A52" w:rsidRDefault="008B65EC" w:rsidP="00430A8D">
            <w:pPr>
              <w:pStyle w:val="NormalWeb"/>
              <w:shd w:val="clear" w:color="auto" w:fill="FFFFFF"/>
              <w:spacing w:before="120" w:beforeAutospacing="0" w:after="120" w:afterAutospacing="0"/>
              <w:jc w:val="both"/>
              <w:rPr>
                <w:sz w:val="28"/>
                <w:szCs w:val="28"/>
                <w:lang w:val="pt-BR"/>
              </w:rPr>
            </w:pPr>
            <w:r w:rsidRPr="00EF1A52">
              <w:rPr>
                <w:sz w:val="28"/>
                <w:szCs w:val="28"/>
              </w:rPr>
              <w:lastRenderedPageBreak/>
              <w:t>Nghị định số 137/2013/NĐ-CP ngày 21 tháng 10 năm 2013 của Chính phủ quy định chi tiết thi hành một số điều của Luật Điện lực và Luật sửa đổi, bổ sung một số điều của Luật Điện lực;</w:t>
            </w:r>
          </w:p>
        </w:tc>
        <w:tc>
          <w:tcPr>
            <w:tcW w:w="3510" w:type="dxa"/>
          </w:tcPr>
          <w:p w:rsidR="008B65EC" w:rsidRPr="00EF1A52" w:rsidRDefault="008B65EC" w:rsidP="00BC1B25">
            <w:pPr>
              <w:spacing w:before="120"/>
              <w:rPr>
                <w:lang w:val="pt-BR"/>
              </w:rPr>
            </w:pPr>
            <w:r w:rsidRPr="006B0D5C">
              <w:t>Nghị định 61/2025/NĐ-CP ngày 04/03/2025 của Chính phủ hướng dẫn Luật Điện lực về giấy phép hoạt động điện lực; Nghị định số 18/2025/NĐ-CP ngày 08/02/2025 của Chính phủ hướng dẫn Luật Điện lực liên quan đến hoạt động mua bán điện và tình huống bảo đảm cung cấp điện; Nghị định số 72/2025/NĐ-CP ngày 12/4/2025 của Chính phủ quy định về cơ chế, thời gian điều chỉnh giá bán lẻ điện bình quân. Sau khi các Nghị định này được ban hành, Nghị định số 137/2013/NĐ-CP sẽ được bãi bỏ</w:t>
            </w:r>
            <w:r w:rsidRPr="006B0D5C">
              <w:rPr>
                <w:rStyle w:val="FootnoteReference"/>
              </w:rPr>
              <w:footnoteReference w:id="4"/>
            </w:r>
            <w:r w:rsidRPr="006B0D5C">
              <w:t>.</w:t>
            </w:r>
          </w:p>
        </w:tc>
        <w:tc>
          <w:tcPr>
            <w:tcW w:w="1890" w:type="dxa"/>
          </w:tcPr>
          <w:p w:rsidR="008B65EC" w:rsidRPr="00EF1A52" w:rsidRDefault="008B65EC" w:rsidP="008F2337">
            <w:r w:rsidRPr="00EF1A52">
              <w:t>Không tạo ra khoảng trống pháp lý</w:t>
            </w:r>
          </w:p>
        </w:tc>
        <w:tc>
          <w:tcPr>
            <w:tcW w:w="990" w:type="dxa"/>
          </w:tcPr>
          <w:p w:rsidR="008B65EC" w:rsidRPr="00233E96" w:rsidRDefault="008B65EC" w:rsidP="008F2337">
            <w:pPr>
              <w:rPr>
                <w:sz w:val="24"/>
                <w:szCs w:val="24"/>
              </w:rPr>
            </w:pPr>
          </w:p>
        </w:tc>
      </w:tr>
      <w:tr w:rsidR="008B65EC" w:rsidRPr="00233E96" w:rsidTr="00F9442C">
        <w:tc>
          <w:tcPr>
            <w:tcW w:w="3078" w:type="dxa"/>
          </w:tcPr>
          <w:p w:rsidR="008B65EC" w:rsidRPr="00EF1A52" w:rsidRDefault="008B65EC" w:rsidP="00430A8D">
            <w:pPr>
              <w:pStyle w:val="NormalWeb"/>
              <w:shd w:val="clear" w:color="auto" w:fill="FFFFFF"/>
              <w:spacing w:before="120" w:beforeAutospacing="0" w:after="120" w:afterAutospacing="0"/>
              <w:jc w:val="both"/>
              <w:rPr>
                <w:sz w:val="28"/>
                <w:szCs w:val="28"/>
              </w:rPr>
            </w:pPr>
            <w:r w:rsidRPr="00EF1A52">
              <w:rPr>
                <w:sz w:val="28"/>
                <w:szCs w:val="28"/>
              </w:rPr>
              <w:lastRenderedPageBreak/>
              <w:t>Nghị định số 04/2015/NĐ-CP ngày 09 tháng 01 năm 2015 của Chính phủ về thực hiện dân chủ trong hoạt động của cơ quan hành chính nhà nước và đơn vị sự nghiệp công lập;</w:t>
            </w:r>
          </w:p>
        </w:tc>
        <w:tc>
          <w:tcPr>
            <w:tcW w:w="3510" w:type="dxa"/>
          </w:tcPr>
          <w:p w:rsidR="008B65EC" w:rsidRPr="006B0D5C" w:rsidRDefault="008B65EC" w:rsidP="008B65EC">
            <w:pPr>
              <w:spacing w:before="20" w:after="20"/>
              <w:rPr>
                <w:iCs/>
                <w:lang w:val="fr-FR"/>
              </w:rPr>
            </w:pPr>
            <w:r w:rsidRPr="006B0D5C">
              <w:rPr>
                <w:iCs/>
                <w:lang w:val="fr-FR"/>
              </w:rPr>
              <w:t>- Luật Thực hiện dân chủ ở cơ sở năm 2022, trong đó tại Chương III Thực hiện dân chủ ở cơ quan, đơn vị, đã quy định 18 Điều về thực hiện dân chủ tại cơ quan, đơn vị, kế thừa các nội dung của Nghị định số 04/2015/NĐ-CP, đồng thời quy định rõ hơn trách nhiệm của người đứng đầu cơ quan, đơn vị trong quá trình triển khai.</w:t>
            </w:r>
          </w:p>
          <w:p w:rsidR="008B65EC" w:rsidRPr="006B0D5C" w:rsidRDefault="008B65EC" w:rsidP="008B65EC">
            <w:pPr>
              <w:spacing w:before="20" w:after="20"/>
              <w:rPr>
                <w:iCs/>
                <w:lang w:val="fr-FR"/>
              </w:rPr>
            </w:pPr>
            <w:r w:rsidRPr="006B0D5C">
              <w:rPr>
                <w:iCs/>
                <w:lang w:val="fr-FR"/>
              </w:rPr>
              <w:t>- Đối với nội dung dân chủ trong quan hệ và giải quyết công việc với công dân, cơ quan, đơn vị, tổ chức có liên quan có quy định về trách nhiệm của người đứng đầu cơ quan, đơn vị; trách nhiệm của cán bộ, công chức, viên chức; quan hệ giữa người đứng đầu cơ quan, đơn vị với cơ quan, đơn vị cấp trên, cấp dưới đã được quy định tại các Luật chuyên ngành, cụ thể:</w:t>
            </w:r>
          </w:p>
          <w:p w:rsidR="008B65EC" w:rsidRPr="006B0D5C" w:rsidRDefault="008B65EC" w:rsidP="008B65EC">
            <w:pPr>
              <w:spacing w:before="20" w:after="20"/>
              <w:rPr>
                <w:iCs/>
                <w:lang w:val="fr-FR"/>
              </w:rPr>
            </w:pPr>
            <w:r w:rsidRPr="006B0D5C">
              <w:rPr>
                <w:iCs/>
                <w:lang w:val="fr-FR"/>
              </w:rPr>
              <w:t xml:space="preserve">Luật tiếp công dân năm 2013 có quy định về trách nhiệm tiếp công dân của các cơ quan nhà nước, tổ chức chính trị, tổ chức chính trị - xã hội, đơn vị sự nghiệp công lập (Điều 4); trách nhiệm của người tiếp công dân (Điều 8); việc tiếp công dân ở xã, phường, thị trấn </w:t>
            </w:r>
            <w:r w:rsidRPr="006B0D5C">
              <w:rPr>
                <w:iCs/>
                <w:lang w:val="fr-FR"/>
              </w:rPr>
              <w:lastRenderedPageBreak/>
              <w:t>(Điều 15); đồng thời, Luật Cán bộ, công chức năm 2008 và Luật Viên chức năm 2010 (được sửa đổi, bổ sung năm 2019) cũng có những quy định về nghĩa vụ của cán bộ, công chức đối với Đảng, Nhà nước và nhân dân (Điều 8 Luật Cán bộ, công chức); văn hóa giao tiếp của cán bộ, công chức với nhân dân (Điều 17 Luật Cán bộ, công chức); nghĩa vụ của viên chức khi phục vụ nhân dân (Điều 17 Luật Viên chức)</w:t>
            </w:r>
            <w:r w:rsidRPr="006B0D5C">
              <w:rPr>
                <w:iCs/>
                <w:lang w:val="fr-FR"/>
              </w:rPr>
              <w:footnoteReference w:id="5"/>
            </w:r>
            <w:r w:rsidRPr="006B0D5C">
              <w:rPr>
                <w:iCs/>
                <w:lang w:val="fr-FR"/>
              </w:rPr>
              <w:t xml:space="preserve"> ,…</w:t>
            </w:r>
          </w:p>
          <w:p w:rsidR="008B65EC" w:rsidRPr="00EF1A52" w:rsidRDefault="008B65EC" w:rsidP="006C06BB">
            <w:pPr>
              <w:pStyle w:val="NormalWeb"/>
              <w:shd w:val="clear" w:color="auto" w:fill="FFFFFF"/>
              <w:spacing w:before="120" w:beforeAutospacing="0" w:after="120" w:afterAutospacing="0"/>
              <w:jc w:val="both"/>
              <w:rPr>
                <w:sz w:val="28"/>
                <w:szCs w:val="28"/>
              </w:rPr>
            </w:pPr>
          </w:p>
        </w:tc>
        <w:tc>
          <w:tcPr>
            <w:tcW w:w="1890" w:type="dxa"/>
          </w:tcPr>
          <w:p w:rsidR="008B65EC" w:rsidRPr="00EF1A52" w:rsidRDefault="008B65EC" w:rsidP="008F2337">
            <w:r w:rsidRPr="00EF1A52">
              <w:lastRenderedPageBreak/>
              <w:t>Không tạo ra khoảng trống pháp lý</w:t>
            </w:r>
          </w:p>
        </w:tc>
        <w:tc>
          <w:tcPr>
            <w:tcW w:w="990" w:type="dxa"/>
          </w:tcPr>
          <w:p w:rsidR="008B65EC" w:rsidRPr="00233E96" w:rsidRDefault="008B65EC" w:rsidP="008F2337">
            <w:pPr>
              <w:rPr>
                <w:sz w:val="24"/>
                <w:szCs w:val="24"/>
              </w:rPr>
            </w:pPr>
          </w:p>
        </w:tc>
      </w:tr>
      <w:tr w:rsidR="008B65EC" w:rsidRPr="00233E96" w:rsidTr="00F9442C">
        <w:tc>
          <w:tcPr>
            <w:tcW w:w="3078" w:type="dxa"/>
          </w:tcPr>
          <w:p w:rsidR="008B65EC" w:rsidRPr="00EF1A52" w:rsidRDefault="008B65EC" w:rsidP="00430A8D">
            <w:pPr>
              <w:pStyle w:val="NormalWeb"/>
              <w:shd w:val="clear" w:color="auto" w:fill="FFFFFF"/>
              <w:spacing w:before="120" w:beforeAutospacing="0" w:after="120" w:afterAutospacing="0"/>
              <w:jc w:val="both"/>
              <w:rPr>
                <w:sz w:val="28"/>
                <w:szCs w:val="28"/>
              </w:rPr>
            </w:pPr>
            <w:r w:rsidRPr="00EF1A52">
              <w:rPr>
                <w:sz w:val="28"/>
                <w:szCs w:val="28"/>
              </w:rPr>
              <w:lastRenderedPageBreak/>
              <w:t xml:space="preserve">Nghị định số 63/2020/NĐ-CP ngày 08 tháng </w:t>
            </w:r>
            <w:r w:rsidRPr="00EF1A52">
              <w:rPr>
                <w:iCs/>
                <w:sz w:val="28"/>
                <w:szCs w:val="28"/>
                <w:lang w:val="fr-FR"/>
              </w:rPr>
              <w:t>6 năm 2020 của Chính phủ quy định về công nghiệp an ninh.</w:t>
            </w:r>
          </w:p>
        </w:tc>
        <w:tc>
          <w:tcPr>
            <w:tcW w:w="3510" w:type="dxa"/>
          </w:tcPr>
          <w:p w:rsidR="008B65EC" w:rsidRPr="00EF1A52" w:rsidRDefault="008B65EC" w:rsidP="007669C8">
            <w:pPr>
              <w:spacing w:before="20" w:after="20"/>
            </w:pPr>
            <w:r w:rsidRPr="006B0D5C">
              <w:rPr>
                <w:iCs/>
                <w:lang w:val="fr-FR"/>
              </w:rPr>
              <w:t>Nghị định số 63/2020/NĐ-CP quy định chi tiết thi hành Điều 34 Luật Công an nhân dân năm 2018 về công nghiệp an ninh; tuy nhiên, Điều này đã được sửa đổi bởi khoản 2 Điều 84 Luật Công nghiệp quốc phòng, an ninh và động viên công nghiệp.</w:t>
            </w:r>
          </w:p>
        </w:tc>
        <w:tc>
          <w:tcPr>
            <w:tcW w:w="1890" w:type="dxa"/>
          </w:tcPr>
          <w:p w:rsidR="008B65EC" w:rsidRPr="00EF1A52" w:rsidRDefault="008B65EC" w:rsidP="008F2337">
            <w:r w:rsidRPr="00EF1A52">
              <w:t>Không tạo ra khoảng trống pháp lý</w:t>
            </w:r>
          </w:p>
        </w:tc>
        <w:tc>
          <w:tcPr>
            <w:tcW w:w="990" w:type="dxa"/>
          </w:tcPr>
          <w:p w:rsidR="008B65EC" w:rsidRPr="00233E96" w:rsidRDefault="008B65EC" w:rsidP="008F2337">
            <w:pPr>
              <w:rPr>
                <w:sz w:val="24"/>
                <w:szCs w:val="24"/>
              </w:rPr>
            </w:pPr>
          </w:p>
        </w:tc>
      </w:tr>
      <w:tr w:rsidR="008B65EC" w:rsidRPr="00233E96" w:rsidTr="00F9442C">
        <w:tc>
          <w:tcPr>
            <w:tcW w:w="3078" w:type="dxa"/>
          </w:tcPr>
          <w:p w:rsidR="008B65EC" w:rsidRPr="002F5A92" w:rsidRDefault="008B65EC" w:rsidP="00430A8D">
            <w:pPr>
              <w:spacing w:before="120" w:after="120"/>
            </w:pPr>
            <w:r w:rsidRPr="002F5A92">
              <w:rPr>
                <w:rStyle w:val="xsptextcomputedfield"/>
                <w:rFonts w:eastAsia="Times New Roman"/>
              </w:rPr>
              <w:t>Khoản 1 Điều 12 Nghị định số 65/2017/NĐ-CP ngày 19 tháng 5 năm 2017 của Chính phủ về chính sách đặc thù về giống, vốn và công nghệ trong phát triển nuôi trồng, khai thác dược liệu.</w:t>
            </w:r>
          </w:p>
        </w:tc>
        <w:tc>
          <w:tcPr>
            <w:tcW w:w="3510" w:type="dxa"/>
          </w:tcPr>
          <w:p w:rsidR="008B65EC" w:rsidRPr="002F5A92" w:rsidRDefault="008B65EC" w:rsidP="007669C8">
            <w:pPr>
              <w:spacing w:before="120"/>
            </w:pPr>
            <w:r w:rsidRPr="002F5A92">
              <w:rPr>
                <w:spacing w:val="-2"/>
              </w:rPr>
              <w:t>Các nội dung quy định tại Điều 4 và Điều 12 Nghị định số 65/2017/NĐ-CP về công nhận giống dược liệu, hồ sơ, trình tự, thủ tục đã được quy định mới tại Điều 15, 16 và 17 Luật Trồng trọt và Điều 4, 5, 6 Nghị định số 94/2019/NĐ-CP</w:t>
            </w:r>
            <w:r w:rsidR="002F5A92">
              <w:rPr>
                <w:spacing w:val="-2"/>
              </w:rPr>
              <w:t xml:space="preserve"> </w:t>
            </w:r>
            <w:r w:rsidRPr="002F5A92">
              <w:rPr>
                <w:spacing w:val="-2"/>
              </w:rPr>
              <w:t xml:space="preserve">ngày 13/12/2019 của Chính phủ quy định chi tiết một số điều </w:t>
            </w:r>
            <w:r w:rsidRPr="002F5A92">
              <w:rPr>
                <w:spacing w:val="-2"/>
              </w:rPr>
              <w:lastRenderedPageBreak/>
              <w:t>của Luật Trồng trọt về giống cây trồng và canh tác.</w:t>
            </w:r>
          </w:p>
        </w:tc>
        <w:tc>
          <w:tcPr>
            <w:tcW w:w="1890" w:type="dxa"/>
          </w:tcPr>
          <w:p w:rsidR="008B65EC" w:rsidRPr="00EF1A52" w:rsidRDefault="008B65EC" w:rsidP="008F2337">
            <w:r w:rsidRPr="00EF1A52">
              <w:lastRenderedPageBreak/>
              <w:t>Không tạo ra khoảng trống pháp lý</w:t>
            </w:r>
          </w:p>
        </w:tc>
        <w:tc>
          <w:tcPr>
            <w:tcW w:w="990" w:type="dxa"/>
          </w:tcPr>
          <w:p w:rsidR="008B65EC" w:rsidRPr="00233E96" w:rsidRDefault="008B65EC" w:rsidP="008F2337">
            <w:pPr>
              <w:rPr>
                <w:sz w:val="24"/>
                <w:szCs w:val="24"/>
              </w:rPr>
            </w:pPr>
          </w:p>
        </w:tc>
      </w:tr>
      <w:tr w:rsidR="008B65EC" w:rsidRPr="00233E96" w:rsidTr="00F9442C">
        <w:tc>
          <w:tcPr>
            <w:tcW w:w="3078" w:type="dxa"/>
          </w:tcPr>
          <w:p w:rsidR="008B65EC" w:rsidRPr="00EF1A52" w:rsidRDefault="008B65EC" w:rsidP="00430A8D">
            <w:pPr>
              <w:spacing w:before="120" w:after="120"/>
              <w:rPr>
                <w:rStyle w:val="xsptextcomputedfield"/>
                <w:rFonts w:eastAsia="Times New Roman"/>
              </w:rPr>
            </w:pPr>
            <w:r w:rsidRPr="00EF1A52">
              <w:rPr>
                <w:rStyle w:val="xsptextcomputedfield"/>
                <w:rFonts w:eastAsia="Times New Roman"/>
              </w:rPr>
              <w:lastRenderedPageBreak/>
              <w:t>Chương II Nghị định số 08/2018/NĐ-CP ngày 15 tháng 02 năm 2018 của Chính phủ về sửa đổi Nghị định liên quan đến điều kiện đầu tư kinh doanh thuộc phạm vi quản lý nhà nước của Bộ Công Thương</w:t>
            </w:r>
          </w:p>
        </w:tc>
        <w:tc>
          <w:tcPr>
            <w:tcW w:w="3510" w:type="dxa"/>
          </w:tcPr>
          <w:p w:rsidR="008B65EC" w:rsidRPr="002F5A92" w:rsidRDefault="008B65EC" w:rsidP="007669C8">
            <w:pPr>
              <w:spacing w:before="120"/>
              <w:rPr>
                <w:rStyle w:val="xsptextcomputedfield"/>
                <w:rFonts w:eastAsia="Times New Roman"/>
              </w:rPr>
            </w:pPr>
            <w:r w:rsidRPr="002F5A92">
              <w:t>Khoản 1 Điều 6 quy định một số nội dung về quản lý quy hoạch: Khoản 1 Điều 6 quy định một số nội dung về quản lý quy hoạch và trách nhiệm bố trí đất cho phát triển điện lực của UBND cấp tỉnh và Điều 7 của Chương III chưa được bãi bỏ hoặc được quy định hết hiệu lực sau khi Luật Điện lực năm 2024 có hiệu lực</w:t>
            </w:r>
          </w:p>
        </w:tc>
        <w:tc>
          <w:tcPr>
            <w:tcW w:w="1890" w:type="dxa"/>
          </w:tcPr>
          <w:p w:rsidR="008B65EC" w:rsidRPr="002F5A92" w:rsidRDefault="008B65EC" w:rsidP="008F2337">
            <w:r w:rsidRPr="002F5A92">
              <w:t>Không tạo ra khoảng trống pháp lý</w:t>
            </w:r>
          </w:p>
        </w:tc>
        <w:tc>
          <w:tcPr>
            <w:tcW w:w="990" w:type="dxa"/>
          </w:tcPr>
          <w:p w:rsidR="008B65EC" w:rsidRPr="00233E96" w:rsidRDefault="008B65EC" w:rsidP="008F2337">
            <w:pPr>
              <w:rPr>
                <w:sz w:val="24"/>
                <w:szCs w:val="24"/>
              </w:rPr>
            </w:pPr>
          </w:p>
        </w:tc>
      </w:tr>
    </w:tbl>
    <w:p w:rsidR="00893D39" w:rsidRPr="00C64237" w:rsidRDefault="00893D39" w:rsidP="00893D39">
      <w:pPr>
        <w:spacing w:before="120" w:after="120" w:line="240" w:lineRule="auto"/>
        <w:ind w:firstLine="720"/>
        <w:rPr>
          <w:b/>
        </w:rPr>
      </w:pPr>
      <w:r w:rsidRPr="00C64237">
        <w:rPr>
          <w:b/>
        </w:rPr>
        <w:t>3. Điều ước quốc tế có liên quan đến dự thảo</w:t>
      </w:r>
      <w:r w:rsidR="00C64237">
        <w:rPr>
          <w:b/>
        </w:rPr>
        <w:t xml:space="preserve"> Nghị định</w:t>
      </w:r>
    </w:p>
    <w:p w:rsidR="00847EC3" w:rsidRDefault="00744BD3" w:rsidP="00893D39">
      <w:pPr>
        <w:spacing w:before="120" w:after="120" w:line="240" w:lineRule="auto"/>
        <w:ind w:firstLine="720"/>
      </w:pPr>
      <w:r>
        <w:t xml:space="preserve">- </w:t>
      </w:r>
      <w:r w:rsidR="00893D39">
        <w:t xml:space="preserve">Qua rà soát </w:t>
      </w:r>
      <w:r w:rsidR="00922C1C">
        <w:t xml:space="preserve">với các Điều ước quốc tế có liên quan mà Việt Nam là thành viên, Bộ Tư pháp </w:t>
      </w:r>
      <w:r w:rsidR="00893D39">
        <w:t>đã xác định</w:t>
      </w:r>
      <w:r w:rsidR="00B00DE5">
        <w:t xml:space="preserve"> dự thảo nghị định bãi bỏ các nghị định của Chính phủ</w:t>
      </w:r>
      <w:r w:rsidR="00F43450">
        <w:t xml:space="preserve"> không có nội dung liên quan đến </w:t>
      </w:r>
      <w:r w:rsidR="00566DF0">
        <w:t xml:space="preserve">các điều ước quốc tế mà Việt Nam </w:t>
      </w:r>
      <w:r w:rsidR="00922C1C">
        <w:t xml:space="preserve">đã </w:t>
      </w:r>
      <w:r w:rsidR="00566DF0">
        <w:t>tham gia hay là thành viên</w:t>
      </w:r>
      <w:r w:rsidR="00B43D03">
        <w:t>.</w:t>
      </w:r>
    </w:p>
    <w:p w:rsidR="00FC31A0" w:rsidRDefault="00FC31A0" w:rsidP="00893D39">
      <w:pPr>
        <w:spacing w:before="120" w:after="120" w:line="240" w:lineRule="auto"/>
        <w:ind w:firstLine="720"/>
      </w:pPr>
      <w:r>
        <w:t xml:space="preserve">Trên đây là </w:t>
      </w:r>
      <w:r w:rsidR="00EE3C39">
        <w:t>Bản</w:t>
      </w:r>
      <w:r>
        <w:t xml:space="preserve"> rà soát các chủ trương, đường lối của Đảng, văn bản quy phạm pháp luật, điều ước quốc tế có liên quan đến </w:t>
      </w:r>
      <w:r w:rsidR="00DF7CAB">
        <w:t>dự thảo nghị định bãi bỏ các nghị định của Chính phủ</w:t>
      </w:r>
      <w:r>
        <w:t>./.</w:t>
      </w:r>
    </w:p>
    <w:p w:rsidR="00FC31A0" w:rsidRDefault="00FC31A0" w:rsidP="00893D39">
      <w:pPr>
        <w:spacing w:before="120" w:after="120" w:line="240" w:lineRule="auto"/>
        <w:ind w:firstLine="720"/>
      </w:pPr>
    </w:p>
    <w:p w:rsidR="00FC31A0" w:rsidRPr="00FC31A0" w:rsidRDefault="00FC31A0" w:rsidP="009A5A1A">
      <w:pPr>
        <w:spacing w:before="120" w:after="120" w:line="240" w:lineRule="auto"/>
        <w:ind w:firstLine="720"/>
      </w:pPr>
    </w:p>
    <w:sectPr w:rsidR="00FC31A0" w:rsidRPr="00FC31A0" w:rsidSect="003278EC">
      <w:headerReference w:type="default" r:id="rId7"/>
      <w:pgSz w:w="11907" w:h="16839" w:code="9"/>
      <w:pgMar w:top="990" w:right="1107"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21E5" w:rsidRDefault="009F21E5" w:rsidP="00BE1C85">
      <w:pPr>
        <w:spacing w:after="0" w:line="240" w:lineRule="auto"/>
      </w:pPr>
      <w:r>
        <w:separator/>
      </w:r>
    </w:p>
  </w:endnote>
  <w:endnote w:type="continuationSeparator" w:id="0">
    <w:p w:rsidR="009F21E5" w:rsidRDefault="009F21E5" w:rsidP="00BE1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21002A87" w:usb1="80000000" w:usb2="00000008" w:usb3="00000000" w:csb0="000101FF" w:csb1="00000000"/>
  </w:font>
  <w:font w:name=".VnFree">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21E5" w:rsidRDefault="009F21E5" w:rsidP="00BE1C85">
      <w:pPr>
        <w:spacing w:after="0" w:line="240" w:lineRule="auto"/>
      </w:pPr>
      <w:r>
        <w:separator/>
      </w:r>
    </w:p>
  </w:footnote>
  <w:footnote w:type="continuationSeparator" w:id="0">
    <w:p w:rsidR="009F21E5" w:rsidRDefault="009F21E5" w:rsidP="00BE1C85">
      <w:pPr>
        <w:spacing w:after="0" w:line="240" w:lineRule="auto"/>
      </w:pPr>
      <w:r>
        <w:continuationSeparator/>
      </w:r>
    </w:p>
  </w:footnote>
  <w:footnote w:id="1">
    <w:p w:rsidR="008B65EC" w:rsidRPr="00F83643" w:rsidRDefault="008B65EC" w:rsidP="008B65EC">
      <w:pPr>
        <w:pStyle w:val="FootnoteText"/>
        <w:spacing w:before="60" w:after="60" w:line="240" w:lineRule="auto"/>
        <w:rPr>
          <w:rFonts w:ascii="Times New Roman" w:hAnsi="Times New Roman"/>
        </w:rPr>
      </w:pPr>
      <w:r w:rsidRPr="00F83643">
        <w:rPr>
          <w:rStyle w:val="FootnoteReference"/>
          <w:rFonts w:ascii="Times New Roman" w:hAnsi="Times New Roman"/>
        </w:rPr>
        <w:footnoteRef/>
      </w:r>
      <w:r w:rsidRPr="00F83643">
        <w:rPr>
          <w:rFonts w:ascii="Times New Roman" w:hAnsi="Times New Roman"/>
        </w:rPr>
        <w:t xml:space="preserve"> Ngày 17/5/2011 của Chính phủ quy định về xử lý kỷ luật đối với công chức</w:t>
      </w:r>
    </w:p>
  </w:footnote>
  <w:footnote w:id="2">
    <w:p w:rsidR="008B65EC" w:rsidRPr="0049507C" w:rsidRDefault="008B65EC" w:rsidP="008B65EC">
      <w:pPr>
        <w:pStyle w:val="FootnoteText"/>
        <w:spacing w:before="60" w:after="60" w:line="240" w:lineRule="auto"/>
        <w:jc w:val="both"/>
        <w:rPr>
          <w:rFonts w:ascii="Times New Roman" w:hAnsi="Times New Roman"/>
        </w:rPr>
      </w:pPr>
      <w:r w:rsidRPr="0049507C">
        <w:rPr>
          <w:rStyle w:val="FootnoteReference"/>
          <w:rFonts w:ascii="Times New Roman" w:hAnsi="Times New Roman"/>
        </w:rPr>
        <w:footnoteRef/>
      </w:r>
      <w:r w:rsidRPr="0049507C">
        <w:rPr>
          <w:rFonts w:ascii="Times New Roman" w:hAnsi="Times New Roman"/>
        </w:rPr>
        <w:t xml:space="preserve"> Ngày 06/4/2012 </w:t>
      </w:r>
      <w:r>
        <w:rPr>
          <w:rFonts w:ascii="Times New Roman" w:hAnsi="Times New Roman"/>
        </w:rPr>
        <w:t xml:space="preserve">của Chính phủ </w:t>
      </w:r>
      <w:r w:rsidRPr="0049507C">
        <w:rPr>
          <w:rFonts w:ascii="Times New Roman" w:hAnsi="Times New Roman"/>
        </w:rPr>
        <w:t>quy định về xử lý kỷ luật viên chức và trách nhiệm bồi thường, hoàn trả của viên chức</w:t>
      </w:r>
    </w:p>
  </w:footnote>
  <w:footnote w:id="3">
    <w:p w:rsidR="008B65EC" w:rsidRPr="00F83643" w:rsidRDefault="008B65EC" w:rsidP="008B65EC">
      <w:pPr>
        <w:pStyle w:val="FootnoteText"/>
        <w:spacing w:before="60" w:after="60" w:line="240" w:lineRule="auto"/>
        <w:rPr>
          <w:rFonts w:ascii="Times New Roman" w:hAnsi="Times New Roman"/>
        </w:rPr>
      </w:pPr>
      <w:r w:rsidRPr="00F83643">
        <w:rPr>
          <w:rStyle w:val="FootnoteReference"/>
          <w:rFonts w:ascii="Times New Roman" w:hAnsi="Times New Roman"/>
        </w:rPr>
        <w:footnoteRef/>
      </w:r>
      <w:r w:rsidRPr="00F83643">
        <w:rPr>
          <w:rFonts w:ascii="Times New Roman" w:hAnsi="Times New Roman"/>
        </w:rPr>
        <w:t xml:space="preserve"> Ngày 18/9/2020 của Chính phủ quy định về xử lý kỷ luật cán bộ, công chức, viên chức.</w:t>
      </w:r>
    </w:p>
  </w:footnote>
  <w:footnote w:id="4">
    <w:p w:rsidR="008B65EC" w:rsidRPr="008A52A9" w:rsidRDefault="008B65EC" w:rsidP="008B65EC">
      <w:pPr>
        <w:pStyle w:val="FootnoteText"/>
        <w:jc w:val="both"/>
      </w:pPr>
      <w:r w:rsidRPr="008A52A9">
        <w:rPr>
          <w:rStyle w:val="FootnoteReference"/>
        </w:rPr>
        <w:footnoteRef/>
      </w:r>
      <w:r w:rsidRPr="008A52A9">
        <w:t xml:space="preserve"> </w:t>
      </w:r>
      <w:r w:rsidRPr="00287F27">
        <w:rPr>
          <w:rFonts w:ascii="Times New Roman" w:hAnsi="Times New Roman"/>
        </w:rPr>
        <w:t xml:space="preserve">Điều 6, Điều 7 </w:t>
      </w:r>
      <w:r w:rsidRPr="00287F27">
        <w:rPr>
          <w:rFonts w:ascii="Times New Roman" w:hAnsi="Times New Roman"/>
          <w:bCs/>
          <w:color w:val="000000"/>
        </w:rPr>
        <w:t>Nghị định số 08/2018/NĐ-CP ngày 15 tháng 01 năm 2018 của Chính phủ sửa đổi một số nghị định liên quan đến điều kiện đầu tư kinh doanh thuộc phạm vi quản lý nhà nước của Bộ Công Thương và Điều 3, Điều 4 Nghị định số 17/2020/NĐ-CP ngày 05 tháng 02 năm 2020 của Chính phủ sửa đổi, bổ sung một số điều của các nghị định liên quan đến điều kiện đầu tư kinh doanh thuộc lĩnh vực quản lý nhà nước của Bộ Công Thương có sửa đổi, bổ sung một số điều, khoản của Nghị định số 137/2013/NĐ-CP liên quan đến cấp giấy phép hoạt động điện lực. Hiện nay, Bộ Công Thương đ</w:t>
      </w:r>
      <w:r>
        <w:rPr>
          <w:rFonts w:ascii="Times New Roman" w:hAnsi="Times New Roman"/>
          <w:bCs/>
          <w:color w:val="000000"/>
        </w:rPr>
        <w:t>ã</w:t>
      </w:r>
      <w:r w:rsidRPr="00287F27">
        <w:rPr>
          <w:rFonts w:ascii="Times New Roman" w:hAnsi="Times New Roman"/>
          <w:bCs/>
          <w:color w:val="000000"/>
        </w:rPr>
        <w:t xml:space="preserve"> trình Chính phủ ký ban hành Nghị định quy định chi tiết một số điều về giấy phép hoạt động điện lực, theo đó, hiệu lực thi hành của dự thảo Nghị định quy định: “</w:t>
      </w:r>
      <w:r w:rsidRPr="00287F27">
        <w:rPr>
          <w:rFonts w:ascii="Times New Roman" w:hAnsi="Times New Roman"/>
        </w:rPr>
        <w:t xml:space="preserve">Bãi bỏ Điều 29 đến Điều 47 Nghị định số 137/2013/NĐ-CP ngày 21 tháng 10 năm 2013 của Chính phủ quy định chi tiết thi hành một số điều của Luật Điện lực và Luật sửa đổi, bổ sung một số điều của Luật Điện lực đã được sửa đổi, bổ sung một số </w:t>
      </w:r>
      <w:r w:rsidRPr="00CE3750">
        <w:rPr>
          <w:rFonts w:ascii="Times New Roman" w:hAnsi="Times New Roman"/>
          <w:bCs/>
          <w:color w:val="000000"/>
        </w:rPr>
        <w:t>điều theo Nghị định số 08/2018/NĐ-CP ngày 15 tháng 01 năm 2018 và Nghị định số 17/2020/NĐ-CP ngày 05 tháng 02 năm 2020 của Chính phủ (sau đây gọi là Nghị định số 137/2013/NĐ-CP).”. Vì vậy, khi Nghị định quy định chi tiết một số điều về giấy phép hoạt động điện lực, Điều 6, Điều 7 Nghị định số 08/2018/NĐ-CP và Điều 3, Điều 4 Nghị định số 17/2020/NĐ-CP sẽ được bãi bỏ.</w:t>
      </w:r>
    </w:p>
  </w:footnote>
  <w:footnote w:id="5">
    <w:p w:rsidR="008B65EC" w:rsidRPr="00153A00" w:rsidRDefault="008B65EC" w:rsidP="008B65EC">
      <w:pPr>
        <w:pStyle w:val="FootnoteText"/>
        <w:spacing w:before="60" w:after="60" w:line="240" w:lineRule="auto"/>
        <w:jc w:val="both"/>
        <w:rPr>
          <w:rFonts w:ascii="Times New Roman" w:hAnsi="Times New Roman"/>
        </w:rPr>
      </w:pPr>
      <w:r w:rsidRPr="00153A00">
        <w:rPr>
          <w:rStyle w:val="FootnoteReference"/>
          <w:rFonts w:ascii="Times New Roman" w:hAnsi="Times New Roman"/>
        </w:rPr>
        <w:footnoteRef/>
      </w:r>
      <w:r w:rsidRPr="00153A00">
        <w:rPr>
          <w:rFonts w:ascii="Times New Roman" w:hAnsi="Times New Roman"/>
        </w:rPr>
        <w:t xml:space="preserve"> Báo cáo số 137/BC-BNV ngày 11/01/2022 của Bộ Nội vụ về kết quả rà soát các văn bản quy phạm pháp luật liên quan đến thực hiện dân chủ ở cơ sở</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1181083188"/>
      <w:docPartObj>
        <w:docPartGallery w:val="Page Numbers (Top of Page)"/>
        <w:docPartUnique/>
      </w:docPartObj>
    </w:sdtPr>
    <w:sdtEndPr/>
    <w:sdtContent>
      <w:p w:rsidR="008F3F69" w:rsidRPr="00BE1C85" w:rsidRDefault="001E3330">
        <w:pPr>
          <w:pStyle w:val="Header"/>
          <w:jc w:val="center"/>
          <w:rPr>
            <w:sz w:val="24"/>
            <w:szCs w:val="24"/>
          </w:rPr>
        </w:pPr>
        <w:r w:rsidRPr="00BE1C85">
          <w:rPr>
            <w:sz w:val="24"/>
            <w:szCs w:val="24"/>
          </w:rPr>
          <w:fldChar w:fldCharType="begin"/>
        </w:r>
        <w:r w:rsidR="008F3F69" w:rsidRPr="00BE1C85">
          <w:rPr>
            <w:sz w:val="24"/>
            <w:szCs w:val="24"/>
          </w:rPr>
          <w:instrText xml:space="preserve"> PAGE   \* MERGEFORMAT </w:instrText>
        </w:r>
        <w:r w:rsidRPr="00BE1C85">
          <w:rPr>
            <w:sz w:val="24"/>
            <w:szCs w:val="24"/>
          </w:rPr>
          <w:fldChar w:fldCharType="separate"/>
        </w:r>
        <w:r w:rsidR="0003219D">
          <w:rPr>
            <w:noProof/>
            <w:sz w:val="24"/>
            <w:szCs w:val="24"/>
          </w:rPr>
          <w:t>10</w:t>
        </w:r>
        <w:r w:rsidRPr="00BE1C85">
          <w:rPr>
            <w:sz w:val="24"/>
            <w:szCs w:val="24"/>
          </w:rPr>
          <w:fldChar w:fldCharType="end"/>
        </w:r>
      </w:p>
    </w:sdtContent>
  </w:sdt>
  <w:p w:rsidR="008F3F69" w:rsidRPr="00BE1C85" w:rsidRDefault="008F3F69">
    <w:pPr>
      <w:pStyle w:val="Header"/>
      <w:rPr>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E82"/>
    <w:rsid w:val="0003219D"/>
    <w:rsid w:val="000501B3"/>
    <w:rsid w:val="00061255"/>
    <w:rsid w:val="000638A8"/>
    <w:rsid w:val="00082FF7"/>
    <w:rsid w:val="00090E5F"/>
    <w:rsid w:val="000B2C95"/>
    <w:rsid w:val="000B440E"/>
    <w:rsid w:val="000C1855"/>
    <w:rsid w:val="000E5F93"/>
    <w:rsid w:val="00140F54"/>
    <w:rsid w:val="00154415"/>
    <w:rsid w:val="00170E73"/>
    <w:rsid w:val="001725BD"/>
    <w:rsid w:val="001A05C5"/>
    <w:rsid w:val="001A0B43"/>
    <w:rsid w:val="001A6203"/>
    <w:rsid w:val="001B35FB"/>
    <w:rsid w:val="001E3330"/>
    <w:rsid w:val="00210595"/>
    <w:rsid w:val="00213897"/>
    <w:rsid w:val="00232CE2"/>
    <w:rsid w:val="00233E96"/>
    <w:rsid w:val="002358DB"/>
    <w:rsid w:val="00245136"/>
    <w:rsid w:val="00246C4B"/>
    <w:rsid w:val="00253179"/>
    <w:rsid w:val="0026779A"/>
    <w:rsid w:val="002A75AD"/>
    <w:rsid w:val="002B1883"/>
    <w:rsid w:val="002B78EB"/>
    <w:rsid w:val="002C0E82"/>
    <w:rsid w:val="002F34C0"/>
    <w:rsid w:val="002F5A92"/>
    <w:rsid w:val="00305F26"/>
    <w:rsid w:val="00320E1A"/>
    <w:rsid w:val="003278EC"/>
    <w:rsid w:val="00335163"/>
    <w:rsid w:val="00341D54"/>
    <w:rsid w:val="003541F3"/>
    <w:rsid w:val="00374D26"/>
    <w:rsid w:val="00382295"/>
    <w:rsid w:val="003D2A2E"/>
    <w:rsid w:val="004174F5"/>
    <w:rsid w:val="004248CC"/>
    <w:rsid w:val="00426516"/>
    <w:rsid w:val="004422B2"/>
    <w:rsid w:val="00452DF3"/>
    <w:rsid w:val="00466B4A"/>
    <w:rsid w:val="0046782C"/>
    <w:rsid w:val="004679CE"/>
    <w:rsid w:val="00496F8B"/>
    <w:rsid w:val="004A4359"/>
    <w:rsid w:val="004A5A1F"/>
    <w:rsid w:val="004C1B15"/>
    <w:rsid w:val="004C48B6"/>
    <w:rsid w:val="0050355A"/>
    <w:rsid w:val="00512A97"/>
    <w:rsid w:val="0056002B"/>
    <w:rsid w:val="00566DF0"/>
    <w:rsid w:val="005711DF"/>
    <w:rsid w:val="0057152F"/>
    <w:rsid w:val="00583EB3"/>
    <w:rsid w:val="00584B52"/>
    <w:rsid w:val="00591483"/>
    <w:rsid w:val="00595A05"/>
    <w:rsid w:val="005D319B"/>
    <w:rsid w:val="005E24AD"/>
    <w:rsid w:val="005F1F4D"/>
    <w:rsid w:val="006001D3"/>
    <w:rsid w:val="00602C29"/>
    <w:rsid w:val="00617CD1"/>
    <w:rsid w:val="0068375D"/>
    <w:rsid w:val="00683B47"/>
    <w:rsid w:val="00697BDA"/>
    <w:rsid w:val="006C06BB"/>
    <w:rsid w:val="006D5C2C"/>
    <w:rsid w:val="00701F62"/>
    <w:rsid w:val="00711C12"/>
    <w:rsid w:val="00726CF0"/>
    <w:rsid w:val="00733D8A"/>
    <w:rsid w:val="00744BD3"/>
    <w:rsid w:val="007556D3"/>
    <w:rsid w:val="007669C8"/>
    <w:rsid w:val="007B0B72"/>
    <w:rsid w:val="007D3CE2"/>
    <w:rsid w:val="00804A8B"/>
    <w:rsid w:val="00806975"/>
    <w:rsid w:val="00817A95"/>
    <w:rsid w:val="008251A2"/>
    <w:rsid w:val="00841DCC"/>
    <w:rsid w:val="0084448F"/>
    <w:rsid w:val="00847EC3"/>
    <w:rsid w:val="00861B01"/>
    <w:rsid w:val="00866E2E"/>
    <w:rsid w:val="00893D39"/>
    <w:rsid w:val="008A60D6"/>
    <w:rsid w:val="008B2035"/>
    <w:rsid w:val="008B337D"/>
    <w:rsid w:val="008B65EC"/>
    <w:rsid w:val="008B6997"/>
    <w:rsid w:val="008B7956"/>
    <w:rsid w:val="008D4D49"/>
    <w:rsid w:val="008F21C2"/>
    <w:rsid w:val="008F3F69"/>
    <w:rsid w:val="00906BA6"/>
    <w:rsid w:val="00911582"/>
    <w:rsid w:val="00922C1C"/>
    <w:rsid w:val="009A5A1A"/>
    <w:rsid w:val="009B07A1"/>
    <w:rsid w:val="009B0901"/>
    <w:rsid w:val="009B3F1D"/>
    <w:rsid w:val="009B5A1A"/>
    <w:rsid w:val="009E2946"/>
    <w:rsid w:val="009F21E5"/>
    <w:rsid w:val="00A0311D"/>
    <w:rsid w:val="00A12CF0"/>
    <w:rsid w:val="00A21ACA"/>
    <w:rsid w:val="00A22548"/>
    <w:rsid w:val="00A32062"/>
    <w:rsid w:val="00AD0655"/>
    <w:rsid w:val="00AD16BE"/>
    <w:rsid w:val="00AF73FC"/>
    <w:rsid w:val="00B00DE5"/>
    <w:rsid w:val="00B018EE"/>
    <w:rsid w:val="00B06E0D"/>
    <w:rsid w:val="00B43D03"/>
    <w:rsid w:val="00B50828"/>
    <w:rsid w:val="00B57DD3"/>
    <w:rsid w:val="00B824D4"/>
    <w:rsid w:val="00B82C5B"/>
    <w:rsid w:val="00BC1B25"/>
    <w:rsid w:val="00BE1C85"/>
    <w:rsid w:val="00BE2716"/>
    <w:rsid w:val="00BF7E26"/>
    <w:rsid w:val="00C27F89"/>
    <w:rsid w:val="00C62205"/>
    <w:rsid w:val="00C64237"/>
    <w:rsid w:val="00C64769"/>
    <w:rsid w:val="00CA340D"/>
    <w:rsid w:val="00CB6135"/>
    <w:rsid w:val="00CD3356"/>
    <w:rsid w:val="00CF3707"/>
    <w:rsid w:val="00D127F0"/>
    <w:rsid w:val="00D37386"/>
    <w:rsid w:val="00D47CE1"/>
    <w:rsid w:val="00D63772"/>
    <w:rsid w:val="00D63F8A"/>
    <w:rsid w:val="00D84D5C"/>
    <w:rsid w:val="00D866AA"/>
    <w:rsid w:val="00D960EC"/>
    <w:rsid w:val="00DB0498"/>
    <w:rsid w:val="00DB5CCB"/>
    <w:rsid w:val="00DF7CAB"/>
    <w:rsid w:val="00E30229"/>
    <w:rsid w:val="00E32C6F"/>
    <w:rsid w:val="00E522B7"/>
    <w:rsid w:val="00E6754A"/>
    <w:rsid w:val="00E760D1"/>
    <w:rsid w:val="00E83282"/>
    <w:rsid w:val="00EE3C39"/>
    <w:rsid w:val="00EF1658"/>
    <w:rsid w:val="00EF1A52"/>
    <w:rsid w:val="00F0685B"/>
    <w:rsid w:val="00F1254D"/>
    <w:rsid w:val="00F23BE5"/>
    <w:rsid w:val="00F30B13"/>
    <w:rsid w:val="00F311AB"/>
    <w:rsid w:val="00F31C32"/>
    <w:rsid w:val="00F43450"/>
    <w:rsid w:val="00F85D31"/>
    <w:rsid w:val="00F9442C"/>
    <w:rsid w:val="00FB134F"/>
    <w:rsid w:val="00FB17BF"/>
    <w:rsid w:val="00FC31A0"/>
    <w:rsid w:val="00FE3D40"/>
    <w:rsid w:val="00FF04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4359"/>
    <w:pPr>
      <w:jc w:val="both"/>
    </w:pPr>
    <w:rPr>
      <w:rFonts w:ascii="Times New Roman" w:hAnsi="Times New Roman" w:cs="Times New Roman"/>
      <w:sz w:val="28"/>
      <w:szCs w:val="28"/>
    </w:rPr>
  </w:style>
  <w:style w:type="paragraph" w:styleId="Heading1">
    <w:name w:val="heading 1"/>
    <w:basedOn w:val="Normal"/>
    <w:link w:val="Heading1Char"/>
    <w:uiPriority w:val="9"/>
    <w:qFormat/>
    <w:rsid w:val="00841DCC"/>
    <w:pPr>
      <w:spacing w:before="100" w:beforeAutospacing="1" w:after="100" w:afterAutospacing="1" w:line="240" w:lineRule="auto"/>
      <w:jc w:val="left"/>
      <w:outlineLvl w:val="0"/>
    </w:pPr>
    <w:rPr>
      <w:rFonts w:eastAsia="Times New Roman"/>
      <w:b/>
      <w:bCs/>
      <w:kern w:val="36"/>
      <w:sz w:val="48"/>
      <w:szCs w:val="48"/>
    </w:rPr>
  </w:style>
  <w:style w:type="paragraph" w:styleId="Heading2">
    <w:name w:val="heading 2"/>
    <w:basedOn w:val="Normal"/>
    <w:next w:val="Normal"/>
    <w:link w:val="Heading2Char"/>
    <w:uiPriority w:val="9"/>
    <w:unhideWhenUsed/>
    <w:qFormat/>
    <w:rsid w:val="00841DC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311D"/>
    <w:pPr>
      <w:ind w:left="720"/>
      <w:contextualSpacing/>
    </w:pPr>
  </w:style>
  <w:style w:type="table" w:styleId="TableGrid">
    <w:name w:val="Table Grid"/>
    <w:basedOn w:val="TableNormal"/>
    <w:uiPriority w:val="59"/>
    <w:rsid w:val="004679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E1C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1C85"/>
    <w:rPr>
      <w:rFonts w:ascii="Times New Roman" w:hAnsi="Times New Roman" w:cs="Times New Roman"/>
      <w:sz w:val="28"/>
      <w:szCs w:val="28"/>
    </w:rPr>
  </w:style>
  <w:style w:type="paragraph" w:styleId="Footer">
    <w:name w:val="footer"/>
    <w:basedOn w:val="Normal"/>
    <w:link w:val="FooterChar"/>
    <w:uiPriority w:val="99"/>
    <w:semiHidden/>
    <w:unhideWhenUsed/>
    <w:rsid w:val="00BE1C8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E1C85"/>
    <w:rPr>
      <w:rFonts w:ascii="Times New Roman" w:hAnsi="Times New Roman" w:cs="Times New Roman"/>
      <w:sz w:val="28"/>
      <w:szCs w:val="28"/>
    </w:rPr>
  </w:style>
  <w:style w:type="paragraph" w:styleId="NormalWeb">
    <w:name w:val="Normal (Web)"/>
    <w:basedOn w:val="Normal"/>
    <w:uiPriority w:val="99"/>
    <w:unhideWhenUsed/>
    <w:rsid w:val="008251A2"/>
    <w:pPr>
      <w:spacing w:before="100" w:beforeAutospacing="1" w:after="100" w:afterAutospacing="1" w:line="240" w:lineRule="auto"/>
      <w:jc w:val="left"/>
    </w:pPr>
    <w:rPr>
      <w:rFonts w:eastAsia="Times New Roman"/>
      <w:sz w:val="24"/>
      <w:szCs w:val="24"/>
    </w:rPr>
  </w:style>
  <w:style w:type="character" w:customStyle="1" w:styleId="xsptextcomputedfield">
    <w:name w:val="xsptextcomputedfield"/>
    <w:rsid w:val="008251A2"/>
  </w:style>
  <w:style w:type="character" w:customStyle="1" w:styleId="Heading1Char">
    <w:name w:val="Heading 1 Char"/>
    <w:basedOn w:val="DefaultParagraphFont"/>
    <w:link w:val="Heading1"/>
    <w:uiPriority w:val="9"/>
    <w:rsid w:val="00841DCC"/>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841DCC"/>
    <w:rPr>
      <w:rFonts w:asciiTheme="majorHAnsi" w:eastAsiaTheme="majorEastAsia" w:hAnsiTheme="majorHAnsi" w:cstheme="majorBidi"/>
      <w:b/>
      <w:bCs/>
      <w:color w:val="4F81BD" w:themeColor="accent1"/>
      <w:sz w:val="26"/>
      <w:szCs w:val="26"/>
    </w:rPr>
  </w:style>
  <w:style w:type="paragraph" w:styleId="FootnoteText">
    <w:name w:val="footnote text"/>
    <w:basedOn w:val="Normal"/>
    <w:link w:val="FootnoteTextChar"/>
    <w:uiPriority w:val="99"/>
    <w:unhideWhenUsed/>
    <w:rsid w:val="008B65EC"/>
    <w:pPr>
      <w:jc w:val="left"/>
    </w:pPr>
    <w:rPr>
      <w:rFonts w:ascii="Calibri" w:eastAsia="Calibri" w:hAnsi="Calibri"/>
      <w:sz w:val="20"/>
      <w:szCs w:val="20"/>
    </w:rPr>
  </w:style>
  <w:style w:type="character" w:customStyle="1" w:styleId="FootnoteTextChar">
    <w:name w:val="Footnote Text Char"/>
    <w:basedOn w:val="DefaultParagraphFont"/>
    <w:link w:val="FootnoteText"/>
    <w:uiPriority w:val="99"/>
    <w:rsid w:val="008B65EC"/>
    <w:rPr>
      <w:rFonts w:ascii="Calibri" w:eastAsia="Calibri" w:hAnsi="Calibri" w:cs="Times New Roman"/>
      <w:sz w:val="20"/>
      <w:szCs w:val="20"/>
    </w:rPr>
  </w:style>
  <w:style w:type="character" w:styleId="FootnoteReference">
    <w:name w:val="footnote reference"/>
    <w:uiPriority w:val="99"/>
    <w:unhideWhenUsed/>
    <w:rsid w:val="008B65EC"/>
    <w:rPr>
      <w:vertAlign w:val="superscript"/>
    </w:rPr>
  </w:style>
  <w:style w:type="paragraph" w:styleId="BalloonText">
    <w:name w:val="Balloon Text"/>
    <w:basedOn w:val="Normal"/>
    <w:link w:val="BalloonTextChar"/>
    <w:uiPriority w:val="99"/>
    <w:semiHidden/>
    <w:unhideWhenUsed/>
    <w:rsid w:val="00D960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60E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4359"/>
    <w:pPr>
      <w:jc w:val="both"/>
    </w:pPr>
    <w:rPr>
      <w:rFonts w:ascii="Times New Roman" w:hAnsi="Times New Roman" w:cs="Times New Roman"/>
      <w:sz w:val="28"/>
      <w:szCs w:val="28"/>
    </w:rPr>
  </w:style>
  <w:style w:type="paragraph" w:styleId="Heading1">
    <w:name w:val="heading 1"/>
    <w:basedOn w:val="Normal"/>
    <w:link w:val="Heading1Char"/>
    <w:uiPriority w:val="9"/>
    <w:qFormat/>
    <w:rsid w:val="00841DCC"/>
    <w:pPr>
      <w:spacing w:before="100" w:beforeAutospacing="1" w:after="100" w:afterAutospacing="1" w:line="240" w:lineRule="auto"/>
      <w:jc w:val="left"/>
      <w:outlineLvl w:val="0"/>
    </w:pPr>
    <w:rPr>
      <w:rFonts w:eastAsia="Times New Roman"/>
      <w:b/>
      <w:bCs/>
      <w:kern w:val="36"/>
      <w:sz w:val="48"/>
      <w:szCs w:val="48"/>
    </w:rPr>
  </w:style>
  <w:style w:type="paragraph" w:styleId="Heading2">
    <w:name w:val="heading 2"/>
    <w:basedOn w:val="Normal"/>
    <w:next w:val="Normal"/>
    <w:link w:val="Heading2Char"/>
    <w:uiPriority w:val="9"/>
    <w:unhideWhenUsed/>
    <w:qFormat/>
    <w:rsid w:val="00841DC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311D"/>
    <w:pPr>
      <w:ind w:left="720"/>
      <w:contextualSpacing/>
    </w:pPr>
  </w:style>
  <w:style w:type="table" w:styleId="TableGrid">
    <w:name w:val="Table Grid"/>
    <w:basedOn w:val="TableNormal"/>
    <w:uiPriority w:val="59"/>
    <w:rsid w:val="004679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E1C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1C85"/>
    <w:rPr>
      <w:rFonts w:ascii="Times New Roman" w:hAnsi="Times New Roman" w:cs="Times New Roman"/>
      <w:sz w:val="28"/>
      <w:szCs w:val="28"/>
    </w:rPr>
  </w:style>
  <w:style w:type="paragraph" w:styleId="Footer">
    <w:name w:val="footer"/>
    <w:basedOn w:val="Normal"/>
    <w:link w:val="FooterChar"/>
    <w:uiPriority w:val="99"/>
    <w:semiHidden/>
    <w:unhideWhenUsed/>
    <w:rsid w:val="00BE1C8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E1C85"/>
    <w:rPr>
      <w:rFonts w:ascii="Times New Roman" w:hAnsi="Times New Roman" w:cs="Times New Roman"/>
      <w:sz w:val="28"/>
      <w:szCs w:val="28"/>
    </w:rPr>
  </w:style>
  <w:style w:type="paragraph" w:styleId="NormalWeb">
    <w:name w:val="Normal (Web)"/>
    <w:basedOn w:val="Normal"/>
    <w:uiPriority w:val="99"/>
    <w:unhideWhenUsed/>
    <w:rsid w:val="008251A2"/>
    <w:pPr>
      <w:spacing w:before="100" w:beforeAutospacing="1" w:after="100" w:afterAutospacing="1" w:line="240" w:lineRule="auto"/>
      <w:jc w:val="left"/>
    </w:pPr>
    <w:rPr>
      <w:rFonts w:eastAsia="Times New Roman"/>
      <w:sz w:val="24"/>
      <w:szCs w:val="24"/>
    </w:rPr>
  </w:style>
  <w:style w:type="character" w:customStyle="1" w:styleId="xsptextcomputedfield">
    <w:name w:val="xsptextcomputedfield"/>
    <w:rsid w:val="008251A2"/>
  </w:style>
  <w:style w:type="character" w:customStyle="1" w:styleId="Heading1Char">
    <w:name w:val="Heading 1 Char"/>
    <w:basedOn w:val="DefaultParagraphFont"/>
    <w:link w:val="Heading1"/>
    <w:uiPriority w:val="9"/>
    <w:rsid w:val="00841DCC"/>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841DCC"/>
    <w:rPr>
      <w:rFonts w:asciiTheme="majorHAnsi" w:eastAsiaTheme="majorEastAsia" w:hAnsiTheme="majorHAnsi" w:cstheme="majorBidi"/>
      <w:b/>
      <w:bCs/>
      <w:color w:val="4F81BD" w:themeColor="accent1"/>
      <w:sz w:val="26"/>
      <w:szCs w:val="26"/>
    </w:rPr>
  </w:style>
  <w:style w:type="paragraph" w:styleId="FootnoteText">
    <w:name w:val="footnote text"/>
    <w:basedOn w:val="Normal"/>
    <w:link w:val="FootnoteTextChar"/>
    <w:uiPriority w:val="99"/>
    <w:unhideWhenUsed/>
    <w:rsid w:val="008B65EC"/>
    <w:pPr>
      <w:jc w:val="left"/>
    </w:pPr>
    <w:rPr>
      <w:rFonts w:ascii="Calibri" w:eastAsia="Calibri" w:hAnsi="Calibri"/>
      <w:sz w:val="20"/>
      <w:szCs w:val="20"/>
    </w:rPr>
  </w:style>
  <w:style w:type="character" w:customStyle="1" w:styleId="FootnoteTextChar">
    <w:name w:val="Footnote Text Char"/>
    <w:basedOn w:val="DefaultParagraphFont"/>
    <w:link w:val="FootnoteText"/>
    <w:uiPriority w:val="99"/>
    <w:rsid w:val="008B65EC"/>
    <w:rPr>
      <w:rFonts w:ascii="Calibri" w:eastAsia="Calibri" w:hAnsi="Calibri" w:cs="Times New Roman"/>
      <w:sz w:val="20"/>
      <w:szCs w:val="20"/>
    </w:rPr>
  </w:style>
  <w:style w:type="character" w:styleId="FootnoteReference">
    <w:name w:val="footnote reference"/>
    <w:uiPriority w:val="99"/>
    <w:unhideWhenUsed/>
    <w:rsid w:val="008B65EC"/>
    <w:rPr>
      <w:vertAlign w:val="superscript"/>
    </w:rPr>
  </w:style>
  <w:style w:type="paragraph" w:styleId="BalloonText">
    <w:name w:val="Balloon Text"/>
    <w:basedOn w:val="Normal"/>
    <w:link w:val="BalloonTextChar"/>
    <w:uiPriority w:val="99"/>
    <w:semiHidden/>
    <w:unhideWhenUsed/>
    <w:rsid w:val="00D960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60E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8669939">
      <w:bodyDiv w:val="1"/>
      <w:marLeft w:val="0"/>
      <w:marRight w:val="0"/>
      <w:marTop w:val="0"/>
      <w:marBottom w:val="0"/>
      <w:divBdr>
        <w:top w:val="none" w:sz="0" w:space="0" w:color="auto"/>
        <w:left w:val="none" w:sz="0" w:space="0" w:color="auto"/>
        <w:bottom w:val="none" w:sz="0" w:space="0" w:color="auto"/>
        <w:right w:val="none" w:sz="0" w:space="0" w:color="auto"/>
      </w:divBdr>
    </w:div>
    <w:div w:id="659037638">
      <w:bodyDiv w:val="1"/>
      <w:marLeft w:val="0"/>
      <w:marRight w:val="0"/>
      <w:marTop w:val="0"/>
      <w:marBottom w:val="0"/>
      <w:divBdr>
        <w:top w:val="none" w:sz="0" w:space="0" w:color="auto"/>
        <w:left w:val="none" w:sz="0" w:space="0" w:color="auto"/>
        <w:bottom w:val="none" w:sz="0" w:space="0" w:color="auto"/>
        <w:right w:val="none" w:sz="0" w:space="0" w:color="auto"/>
      </w:divBdr>
      <w:divsChild>
        <w:div w:id="1805925483">
          <w:marLeft w:val="0"/>
          <w:marRight w:val="0"/>
          <w:marTop w:val="100"/>
          <w:marBottom w:val="100"/>
          <w:divBdr>
            <w:top w:val="none" w:sz="0" w:space="0" w:color="auto"/>
            <w:left w:val="none" w:sz="0" w:space="0" w:color="auto"/>
            <w:bottom w:val="none" w:sz="0" w:space="0" w:color="auto"/>
            <w:right w:val="none" w:sz="0" w:space="0" w:color="auto"/>
          </w:divBdr>
        </w:div>
        <w:div w:id="1969512723">
          <w:marLeft w:val="0"/>
          <w:marRight w:val="0"/>
          <w:marTop w:val="100"/>
          <w:marBottom w:val="100"/>
          <w:divBdr>
            <w:top w:val="none" w:sz="0" w:space="0" w:color="auto"/>
            <w:left w:val="none" w:sz="0" w:space="0" w:color="auto"/>
            <w:bottom w:val="none" w:sz="0" w:space="0" w:color="auto"/>
            <w:right w:val="none" w:sz="0" w:space="0" w:color="auto"/>
          </w:divBdr>
        </w:div>
        <w:div w:id="788353078">
          <w:marLeft w:val="0"/>
          <w:marRight w:val="0"/>
          <w:marTop w:val="100"/>
          <w:marBottom w:val="100"/>
          <w:divBdr>
            <w:top w:val="none" w:sz="0" w:space="0" w:color="auto"/>
            <w:left w:val="none" w:sz="0" w:space="0" w:color="auto"/>
            <w:bottom w:val="none" w:sz="0" w:space="0" w:color="auto"/>
            <w:right w:val="none" w:sz="0" w:space="0" w:color="auto"/>
          </w:divBdr>
        </w:div>
        <w:div w:id="1332442030">
          <w:marLeft w:val="0"/>
          <w:marRight w:val="0"/>
          <w:marTop w:val="100"/>
          <w:marBottom w:val="100"/>
          <w:divBdr>
            <w:top w:val="none" w:sz="0" w:space="0" w:color="auto"/>
            <w:left w:val="none" w:sz="0" w:space="0" w:color="auto"/>
            <w:bottom w:val="none" w:sz="0" w:space="0" w:color="auto"/>
            <w:right w:val="none" w:sz="0" w:space="0" w:color="auto"/>
          </w:divBdr>
        </w:div>
        <w:div w:id="1915973751">
          <w:marLeft w:val="0"/>
          <w:marRight w:val="0"/>
          <w:marTop w:val="100"/>
          <w:marBottom w:val="100"/>
          <w:divBdr>
            <w:top w:val="none" w:sz="0" w:space="0" w:color="auto"/>
            <w:left w:val="none" w:sz="0" w:space="0" w:color="auto"/>
            <w:bottom w:val="none" w:sz="0" w:space="0" w:color="auto"/>
            <w:right w:val="none" w:sz="0" w:space="0" w:color="auto"/>
          </w:divBdr>
        </w:div>
        <w:div w:id="930426671">
          <w:marLeft w:val="0"/>
          <w:marRight w:val="0"/>
          <w:marTop w:val="100"/>
          <w:marBottom w:val="100"/>
          <w:divBdr>
            <w:top w:val="none" w:sz="0" w:space="0" w:color="auto"/>
            <w:left w:val="none" w:sz="0" w:space="0" w:color="auto"/>
            <w:bottom w:val="none" w:sz="0" w:space="0" w:color="auto"/>
            <w:right w:val="none" w:sz="0" w:space="0" w:color="auto"/>
          </w:divBdr>
        </w:div>
      </w:divsChild>
    </w:div>
    <w:div w:id="1325353891">
      <w:bodyDiv w:val="1"/>
      <w:marLeft w:val="0"/>
      <w:marRight w:val="0"/>
      <w:marTop w:val="0"/>
      <w:marBottom w:val="0"/>
      <w:divBdr>
        <w:top w:val="none" w:sz="0" w:space="0" w:color="auto"/>
        <w:left w:val="none" w:sz="0" w:space="0" w:color="auto"/>
        <w:bottom w:val="none" w:sz="0" w:space="0" w:color="auto"/>
        <w:right w:val="none" w:sz="0" w:space="0" w:color="auto"/>
      </w:divBdr>
      <w:divsChild>
        <w:div w:id="907039151">
          <w:marLeft w:val="0"/>
          <w:marRight w:val="0"/>
          <w:marTop w:val="0"/>
          <w:marBottom w:val="0"/>
          <w:divBdr>
            <w:top w:val="none" w:sz="0" w:space="0" w:color="auto"/>
            <w:left w:val="none" w:sz="0" w:space="0" w:color="auto"/>
            <w:bottom w:val="none" w:sz="0" w:space="0" w:color="auto"/>
            <w:right w:val="none" w:sz="0" w:space="0" w:color="auto"/>
          </w:divBdr>
        </w:div>
      </w:divsChild>
    </w:div>
    <w:div w:id="178391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10</Pages>
  <Words>2033</Words>
  <Characters>11592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BTC</Company>
  <LinksUpToDate>false</LinksUpToDate>
  <CharactersWithSpaces>13598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Huyen Trang</dc:creator>
  <cp:lastModifiedBy>Lite</cp:lastModifiedBy>
  <cp:revision>38</cp:revision>
  <cp:lastPrinted>2025-08-29T02:27:00Z</cp:lastPrinted>
  <dcterms:created xsi:type="dcterms:W3CDTF">2025-08-27T08:42:00Z</dcterms:created>
  <dcterms:modified xsi:type="dcterms:W3CDTF">2025-08-29T03:31:00Z</dcterms:modified>
</cp:coreProperties>
</file>